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811B2" w:rsidRDefault="004811B2">
      <w:pPr>
        <w:rPr>
          <w:rFonts w:ascii="Times New Roman" w:hAnsi="Times New Roman" w:hint="eastAsia"/>
          <w:b/>
          <w:sz w:val="28"/>
          <w:szCs w:val="28"/>
        </w:rPr>
      </w:pPr>
    </w:p>
    <w:p w:rsidR="004811B2" w:rsidRDefault="004811B2">
      <w:pPr>
        <w:spacing w:after="156" w:line="560" w:lineRule="exact"/>
        <w:jc w:val="center"/>
        <w:textAlignment w:val="baseline"/>
        <w:rPr>
          <w:rStyle w:val="NormalCharacter"/>
          <w:rFonts w:ascii="方正小标宋简体" w:eastAsia="方正小标宋简体" w:hAnsi="宋体"/>
          <w:b/>
          <w:sz w:val="44"/>
          <w:szCs w:val="44"/>
        </w:rPr>
      </w:pPr>
    </w:p>
    <w:p w:rsidR="004811B2" w:rsidRDefault="004811B2">
      <w:pPr>
        <w:spacing w:after="156" w:line="560" w:lineRule="exact"/>
        <w:jc w:val="center"/>
        <w:textAlignment w:val="baseline"/>
        <w:rPr>
          <w:rStyle w:val="NormalCharacter"/>
          <w:rFonts w:ascii="方正小标宋简体" w:eastAsia="方正小标宋简体" w:hAnsi="宋体"/>
          <w:bCs/>
          <w:sz w:val="44"/>
          <w:szCs w:val="44"/>
        </w:rPr>
      </w:pPr>
    </w:p>
    <w:p w:rsidR="004811B2" w:rsidRDefault="004811B2">
      <w:pPr>
        <w:spacing w:after="156" w:line="560" w:lineRule="exact"/>
        <w:jc w:val="center"/>
        <w:textAlignment w:val="baseline"/>
        <w:rPr>
          <w:rStyle w:val="NormalCharacter"/>
          <w:rFonts w:ascii="方正小标宋简体" w:eastAsia="方正小标宋简体" w:hAnsi="宋体"/>
          <w:bCs/>
          <w:sz w:val="44"/>
          <w:szCs w:val="44"/>
        </w:rPr>
      </w:pPr>
    </w:p>
    <w:p w:rsidR="004811B2" w:rsidRDefault="001F6451">
      <w:pPr>
        <w:spacing w:after="156" w:line="560" w:lineRule="exact"/>
        <w:jc w:val="center"/>
        <w:textAlignment w:val="baseline"/>
        <w:rPr>
          <w:rStyle w:val="NormalCharacter"/>
          <w:rFonts w:ascii="方正小标宋简体" w:eastAsia="方正小标宋简体" w:hAnsi="宋体"/>
          <w:bCs/>
          <w:sz w:val="44"/>
          <w:szCs w:val="44"/>
        </w:rPr>
      </w:pPr>
      <w:r>
        <w:rPr>
          <w:rStyle w:val="NormalCharacter"/>
          <w:rFonts w:ascii="方正小标宋简体" w:eastAsia="方正小标宋简体" w:hAnsi="宋体" w:hint="eastAsia"/>
          <w:bCs/>
          <w:sz w:val="44"/>
          <w:szCs w:val="44"/>
        </w:rPr>
        <w:t>研究生教育发展质量年度报告</w:t>
      </w:r>
    </w:p>
    <w:p w:rsidR="004811B2" w:rsidRDefault="004811B2">
      <w:pPr>
        <w:spacing w:after="156" w:line="560" w:lineRule="exact"/>
        <w:jc w:val="center"/>
        <w:textAlignment w:val="baseline"/>
        <w:rPr>
          <w:rStyle w:val="NormalCharacter"/>
          <w:rFonts w:ascii="方正小标宋简体" w:eastAsia="方正小标宋简体" w:hAnsi="宋体"/>
          <w:bCs/>
          <w:sz w:val="44"/>
          <w:szCs w:val="44"/>
        </w:rPr>
      </w:pPr>
    </w:p>
    <w:p w:rsidR="004811B2" w:rsidRDefault="004811B2">
      <w:pPr>
        <w:snapToGrid w:val="0"/>
        <w:jc w:val="center"/>
        <w:textAlignment w:val="baseline"/>
        <w:rPr>
          <w:rStyle w:val="NormalCharacter"/>
          <w:rFonts w:ascii="Times New Roman" w:eastAsia="宋体" w:hAnsi="Times New Roman"/>
          <w:b/>
          <w:sz w:val="48"/>
          <w:szCs w:val="20"/>
        </w:rPr>
      </w:pPr>
    </w:p>
    <w:p w:rsidR="004811B2" w:rsidRDefault="004811B2">
      <w:pPr>
        <w:snapToGrid w:val="0"/>
        <w:jc w:val="center"/>
        <w:textAlignment w:val="baseline"/>
        <w:rPr>
          <w:rStyle w:val="NormalCharacter"/>
          <w:rFonts w:ascii="Times New Roman" w:eastAsia="宋体" w:hAnsi="Times New Roman"/>
          <w:b/>
          <w:sz w:val="48"/>
          <w:szCs w:val="20"/>
        </w:rPr>
      </w:pPr>
    </w:p>
    <w:p w:rsidR="004811B2" w:rsidRDefault="004811B2">
      <w:pPr>
        <w:snapToGrid w:val="0"/>
        <w:spacing w:line="300" w:lineRule="auto"/>
        <w:jc w:val="center"/>
        <w:textAlignment w:val="baseline"/>
        <w:rPr>
          <w:rStyle w:val="NormalCharacter"/>
          <w:rFonts w:ascii="Times New Roman" w:eastAsia="宋体" w:hAnsi="Times New Roman"/>
          <w:b/>
          <w:szCs w:val="32"/>
        </w:rPr>
      </w:pPr>
    </w:p>
    <w:tbl>
      <w:tblPr>
        <w:tblW w:w="5362" w:type="dxa"/>
        <w:jc w:val="center"/>
        <w:tblBorders>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385"/>
        <w:gridCol w:w="3977"/>
      </w:tblGrid>
      <w:tr w:rsidR="004811B2">
        <w:trPr>
          <w:trHeight w:val="794"/>
          <w:jc w:val="center"/>
        </w:trPr>
        <w:tc>
          <w:tcPr>
            <w:tcW w:w="1385" w:type="dxa"/>
            <w:vMerge w:val="restart"/>
            <w:tcBorders>
              <w:top w:val="nil"/>
              <w:left w:val="nil"/>
              <w:bottom w:val="single" w:sz="4" w:space="0" w:color="000000"/>
              <w:right w:val="single" w:sz="4" w:space="0" w:color="000000"/>
            </w:tcBorders>
            <w:vAlign w:val="center"/>
          </w:tcPr>
          <w:p w:rsidR="004811B2" w:rsidRDefault="001F6451">
            <w:pPr>
              <w:snapToGrid w:val="0"/>
              <w:spacing w:line="240" w:lineRule="atLeast"/>
              <w:jc w:val="center"/>
              <w:textAlignment w:val="baseline"/>
              <w:rPr>
                <w:rStyle w:val="NormalCharacter"/>
                <w:rFonts w:ascii="Times New Roman" w:eastAsia="宋体" w:hAnsi="Times New Roman"/>
                <w:b/>
                <w:spacing w:val="-10"/>
                <w:szCs w:val="32"/>
              </w:rPr>
            </w:pPr>
            <w:r>
              <w:rPr>
                <w:rStyle w:val="NormalCharacter"/>
                <w:rFonts w:ascii="Times New Roman" w:eastAsia="宋体" w:hAnsi="Times New Roman" w:hint="eastAsia"/>
                <w:b/>
                <w:spacing w:val="-10"/>
                <w:szCs w:val="32"/>
              </w:rPr>
              <w:t>学院</w:t>
            </w:r>
          </w:p>
          <w:p w:rsidR="004811B2" w:rsidRDefault="001F6451">
            <w:pPr>
              <w:snapToGrid w:val="0"/>
              <w:spacing w:line="240" w:lineRule="atLeast"/>
              <w:jc w:val="center"/>
              <w:textAlignment w:val="baseline"/>
              <w:rPr>
                <w:rStyle w:val="NormalCharacter"/>
                <w:rFonts w:ascii="Times New Roman" w:eastAsia="宋体" w:hAnsi="Times New Roman"/>
                <w:b/>
                <w:spacing w:val="-10"/>
                <w:szCs w:val="32"/>
              </w:rPr>
            </w:pPr>
            <w:r>
              <w:rPr>
                <w:rStyle w:val="NormalCharacter"/>
                <w:rFonts w:ascii="Times New Roman" w:eastAsia="宋体" w:hAnsi="Times New Roman"/>
                <w:b/>
                <w:spacing w:val="-10"/>
                <w:szCs w:val="32"/>
              </w:rPr>
              <w:t>（公章）</w:t>
            </w:r>
          </w:p>
        </w:tc>
        <w:tc>
          <w:tcPr>
            <w:tcW w:w="3977" w:type="dxa"/>
            <w:tcBorders>
              <w:top w:val="nil"/>
              <w:left w:val="single" w:sz="4" w:space="0" w:color="000000"/>
              <w:bottom w:val="single" w:sz="4" w:space="0" w:color="000000"/>
              <w:right w:val="nil"/>
            </w:tcBorders>
            <w:vAlign w:val="center"/>
          </w:tcPr>
          <w:p w:rsidR="004811B2" w:rsidRDefault="001F6451">
            <w:pPr>
              <w:snapToGrid w:val="0"/>
              <w:spacing w:line="300" w:lineRule="auto"/>
              <w:textAlignment w:val="baseline"/>
              <w:rPr>
                <w:rStyle w:val="NormalCharacter"/>
                <w:rFonts w:ascii="Times New Roman" w:eastAsia="宋体" w:hAnsi="Times New Roman"/>
                <w:b/>
                <w:spacing w:val="-10"/>
                <w:szCs w:val="32"/>
              </w:rPr>
            </w:pPr>
            <w:r>
              <w:rPr>
                <w:rStyle w:val="NormalCharacter"/>
                <w:rFonts w:ascii="Times New Roman" w:eastAsia="宋体" w:hAnsi="Times New Roman"/>
                <w:b/>
                <w:spacing w:val="-10"/>
                <w:szCs w:val="32"/>
              </w:rPr>
              <w:t>名称：</w:t>
            </w:r>
            <w:r>
              <w:rPr>
                <w:rStyle w:val="NormalCharacter"/>
                <w:rFonts w:ascii="Times New Roman" w:eastAsia="宋体" w:hAnsi="Times New Roman" w:hint="eastAsia"/>
                <w:b/>
                <w:spacing w:val="-10"/>
                <w:szCs w:val="32"/>
              </w:rPr>
              <w:t>机械与动力工程学院</w:t>
            </w:r>
          </w:p>
        </w:tc>
      </w:tr>
      <w:tr w:rsidR="004811B2">
        <w:trPr>
          <w:trHeight w:val="794"/>
          <w:jc w:val="center"/>
        </w:trPr>
        <w:tc>
          <w:tcPr>
            <w:tcW w:w="1385" w:type="dxa"/>
            <w:vMerge/>
            <w:tcBorders>
              <w:top w:val="single" w:sz="4" w:space="0" w:color="000000"/>
              <w:left w:val="nil"/>
              <w:bottom w:val="nil"/>
              <w:right w:val="single" w:sz="4" w:space="0" w:color="000000"/>
            </w:tcBorders>
            <w:vAlign w:val="center"/>
          </w:tcPr>
          <w:p w:rsidR="004811B2" w:rsidRDefault="004811B2">
            <w:pPr>
              <w:snapToGrid w:val="0"/>
              <w:spacing w:line="300" w:lineRule="auto"/>
              <w:jc w:val="center"/>
              <w:textAlignment w:val="baseline"/>
              <w:rPr>
                <w:rStyle w:val="NormalCharacter"/>
                <w:rFonts w:ascii="Times New Roman" w:eastAsia="宋体" w:hAnsi="Times New Roman"/>
                <w:b/>
                <w:spacing w:val="-10"/>
                <w:szCs w:val="32"/>
              </w:rPr>
            </w:pPr>
          </w:p>
        </w:tc>
        <w:tc>
          <w:tcPr>
            <w:tcW w:w="3977" w:type="dxa"/>
            <w:tcBorders>
              <w:top w:val="single" w:sz="4" w:space="0" w:color="000000"/>
              <w:left w:val="single" w:sz="4" w:space="0" w:color="000000"/>
              <w:bottom w:val="nil"/>
              <w:right w:val="nil"/>
            </w:tcBorders>
            <w:vAlign w:val="center"/>
          </w:tcPr>
          <w:p w:rsidR="004811B2" w:rsidRDefault="004811B2">
            <w:pPr>
              <w:snapToGrid w:val="0"/>
              <w:spacing w:line="300" w:lineRule="auto"/>
              <w:textAlignment w:val="baseline"/>
              <w:rPr>
                <w:rStyle w:val="NormalCharacter"/>
                <w:rFonts w:ascii="Times New Roman" w:eastAsia="宋体" w:hAnsi="Times New Roman"/>
                <w:b/>
                <w:spacing w:val="-10"/>
                <w:szCs w:val="32"/>
              </w:rPr>
            </w:pPr>
          </w:p>
        </w:tc>
      </w:tr>
    </w:tbl>
    <w:p w:rsidR="004811B2" w:rsidRDefault="004811B2">
      <w:pPr>
        <w:snapToGrid w:val="0"/>
        <w:spacing w:line="300" w:lineRule="auto"/>
        <w:jc w:val="center"/>
        <w:textAlignment w:val="baseline"/>
        <w:rPr>
          <w:rStyle w:val="NormalCharacter"/>
          <w:rFonts w:ascii="Times New Roman" w:eastAsia="宋体" w:hAnsi="Times New Roman"/>
          <w:b/>
          <w:sz w:val="48"/>
          <w:szCs w:val="20"/>
        </w:rPr>
      </w:pPr>
    </w:p>
    <w:p w:rsidR="004811B2" w:rsidRDefault="004811B2">
      <w:pPr>
        <w:spacing w:line="560" w:lineRule="exact"/>
        <w:jc w:val="center"/>
        <w:textAlignment w:val="baseline"/>
        <w:rPr>
          <w:rStyle w:val="NormalCharacter"/>
          <w:rFonts w:ascii="Times New Roman" w:eastAsia="楷体_GB2312" w:hAnsi="Times New Roman"/>
          <w:b/>
          <w:sz w:val="30"/>
          <w:szCs w:val="30"/>
        </w:rPr>
      </w:pPr>
    </w:p>
    <w:p w:rsidR="004811B2" w:rsidRDefault="004811B2">
      <w:pPr>
        <w:pStyle w:val="Heading3"/>
        <w:widowControl/>
        <w:rPr>
          <w:rStyle w:val="NormalCharacter"/>
          <w:rFonts w:ascii="黑体" w:eastAsia="黑体" w:hAnsi="黑体"/>
          <w:color w:val="auto"/>
          <w:szCs w:val="32"/>
        </w:rPr>
      </w:pPr>
    </w:p>
    <w:p w:rsidR="004811B2" w:rsidRDefault="004811B2">
      <w:pPr>
        <w:spacing w:line="560" w:lineRule="exact"/>
        <w:jc w:val="center"/>
        <w:textAlignment w:val="baseline"/>
        <w:rPr>
          <w:rStyle w:val="NormalCharacter"/>
          <w:rFonts w:ascii="Times New Roman" w:eastAsia="楷体_GB2312" w:hAnsi="Times New Roman"/>
          <w:b/>
          <w:sz w:val="30"/>
          <w:szCs w:val="30"/>
        </w:rPr>
      </w:pPr>
    </w:p>
    <w:p w:rsidR="004811B2" w:rsidRDefault="004811B2">
      <w:pPr>
        <w:pStyle w:val="3"/>
      </w:pPr>
    </w:p>
    <w:p w:rsidR="004811B2" w:rsidRDefault="001F6451">
      <w:pPr>
        <w:spacing w:line="560" w:lineRule="exact"/>
        <w:jc w:val="center"/>
        <w:textAlignment w:val="baseline"/>
        <w:rPr>
          <w:rStyle w:val="NormalCharacter"/>
          <w:rFonts w:ascii="黑体" w:eastAsia="黑体" w:hAnsi="黑体"/>
          <w:szCs w:val="32"/>
        </w:rPr>
        <w:sectPr w:rsidR="004811B2">
          <w:footerReference w:type="default" r:id="rId8"/>
          <w:pgSz w:w="11906" w:h="16838"/>
          <w:pgMar w:top="1440" w:right="1800" w:bottom="1440" w:left="1800" w:header="851" w:footer="992" w:gutter="0"/>
          <w:pgNumType w:start="1"/>
          <w:cols w:space="720"/>
          <w:docGrid w:type="lines" w:linePitch="312"/>
        </w:sectPr>
      </w:pPr>
      <w:r>
        <w:rPr>
          <w:rStyle w:val="NormalCharacter"/>
          <w:rFonts w:ascii="Times New Roman" w:eastAsia="楷体_GB2312" w:hAnsi="Times New Roman" w:hint="eastAsia"/>
          <w:b/>
          <w:szCs w:val="32"/>
        </w:rPr>
        <w:t>2023</w:t>
      </w:r>
      <w:r>
        <w:rPr>
          <w:rStyle w:val="NormalCharacter"/>
          <w:rFonts w:ascii="Times New Roman" w:eastAsia="楷体_GB2312" w:hAnsi="Times New Roman"/>
          <w:b/>
          <w:szCs w:val="32"/>
        </w:rPr>
        <w:t>年</w:t>
      </w:r>
      <w:r>
        <w:rPr>
          <w:rStyle w:val="NormalCharacter"/>
          <w:rFonts w:ascii="Times New Roman" w:eastAsia="楷体_GB2312" w:hAnsi="Times New Roman" w:hint="eastAsia"/>
          <w:b/>
          <w:szCs w:val="32"/>
        </w:rPr>
        <w:t>3</w:t>
      </w:r>
      <w:r>
        <w:rPr>
          <w:rStyle w:val="NormalCharacter"/>
          <w:rFonts w:ascii="Times New Roman" w:eastAsia="楷体_GB2312" w:hAnsi="Times New Roman"/>
          <w:b/>
          <w:szCs w:val="32"/>
        </w:rPr>
        <w:t>月</w:t>
      </w:r>
      <w:r>
        <w:rPr>
          <w:rStyle w:val="NormalCharacter"/>
          <w:rFonts w:ascii="Times New Roman" w:eastAsia="楷体_GB2312" w:hAnsi="Times New Roman" w:hint="eastAsia"/>
          <w:b/>
          <w:szCs w:val="32"/>
        </w:rPr>
        <w:t>10</w:t>
      </w:r>
      <w:r>
        <w:rPr>
          <w:rStyle w:val="NormalCharacter"/>
          <w:rFonts w:ascii="Times New Roman" w:eastAsia="楷体_GB2312" w:hAnsi="Times New Roman"/>
          <w:b/>
          <w:szCs w:val="32"/>
        </w:rPr>
        <w:t>日</w:t>
      </w:r>
    </w:p>
    <w:p w:rsidR="004811B2" w:rsidRDefault="001F6451">
      <w:pPr>
        <w:pStyle w:val="3"/>
        <w:spacing w:line="560" w:lineRule="exact"/>
        <w:rPr>
          <w:rStyle w:val="NormalCharacter"/>
          <w:rFonts w:ascii="黑体" w:eastAsia="黑体" w:hAnsi="黑体" w:cs="方正仿宋简体"/>
          <w:color w:val="auto"/>
          <w:szCs w:val="32"/>
        </w:rPr>
      </w:pPr>
      <w:r>
        <w:rPr>
          <w:rStyle w:val="NormalCharacter"/>
          <w:rFonts w:ascii="黑体" w:eastAsia="黑体" w:hAnsi="黑体" w:cs="方正仿宋简体" w:hint="eastAsia"/>
          <w:color w:val="auto"/>
          <w:szCs w:val="32"/>
        </w:rPr>
        <w:lastRenderedPageBreak/>
        <w:t>一、总体概况</w:t>
      </w:r>
    </w:p>
    <w:p w:rsidR="004811B2" w:rsidRDefault="001F6451">
      <w:pPr>
        <w:pStyle w:val="3"/>
        <w:spacing w:line="560" w:lineRule="exact"/>
        <w:ind w:firstLine="643"/>
        <w:rPr>
          <w:rStyle w:val="NormalCharacter"/>
          <w:rFonts w:ascii="楷体" w:eastAsia="楷体" w:hAnsi="楷体" w:cs="方正仿宋简体"/>
          <w:b/>
          <w:color w:val="auto"/>
          <w:szCs w:val="32"/>
        </w:rPr>
      </w:pPr>
      <w:r>
        <w:rPr>
          <w:rStyle w:val="NormalCharacter"/>
          <w:rFonts w:ascii="楷体" w:eastAsia="楷体" w:hAnsi="楷体" w:cs="方正仿宋简体" w:hint="eastAsia"/>
          <w:b/>
          <w:color w:val="auto"/>
          <w:szCs w:val="32"/>
        </w:rPr>
        <w:t>（一）学位授权点基本情况</w:t>
      </w:r>
    </w:p>
    <w:p w:rsidR="004811B2" w:rsidRDefault="001F6451">
      <w:pPr>
        <w:pStyle w:val="3"/>
        <w:spacing w:line="560" w:lineRule="exact"/>
        <w:rPr>
          <w:rFonts w:ascii="仿宋" w:eastAsia="仿宋" w:hAnsi="仿宋"/>
          <w:szCs w:val="24"/>
        </w:rPr>
      </w:pPr>
      <w:r>
        <w:rPr>
          <w:rFonts w:ascii="仿宋" w:eastAsia="仿宋" w:hAnsi="仿宋" w:hint="eastAsia"/>
          <w:szCs w:val="24"/>
        </w:rPr>
        <w:t>本学院拥有2个硕士学位一级学科（动力工程及工程热物理080700，机械工程080200），2个专业硕士授权领域（能源动力085800，机械085500）。</w:t>
      </w:r>
    </w:p>
    <w:p w:rsidR="004811B2" w:rsidRDefault="001F6451">
      <w:pPr>
        <w:pStyle w:val="3"/>
        <w:spacing w:line="560" w:lineRule="exact"/>
        <w:rPr>
          <w:rFonts w:ascii="仿宋" w:eastAsia="仿宋" w:hAnsi="仿宋"/>
          <w:szCs w:val="24"/>
        </w:rPr>
      </w:pPr>
      <w:r>
        <w:rPr>
          <w:rFonts w:ascii="仿宋" w:eastAsia="仿宋" w:hAnsi="仿宋"/>
          <w:szCs w:val="24"/>
        </w:rPr>
        <w:t>动力工程及工程热物理学科相关本科专业设立于1952年，1996年获得化工过程机械二级学科硕士学位授予权，2006年获得流体机械及工程二级学科硕士学位授予权，2011年获得动力工程及工程热物理一级学科硕士学位授予权。化工过程机械学科于2008年被评为辽宁省重点学科，于2013年被评为辽宁省优势特色学科。</w:t>
      </w:r>
      <w:r>
        <w:rPr>
          <w:rFonts w:ascii="仿宋" w:eastAsia="仿宋" w:hAnsi="仿宋" w:hint="eastAsia"/>
          <w:szCs w:val="24"/>
        </w:rPr>
        <w:t>本</w:t>
      </w:r>
      <w:r>
        <w:rPr>
          <w:rFonts w:ascii="仿宋" w:eastAsia="仿宋" w:hAnsi="仿宋"/>
          <w:szCs w:val="24"/>
        </w:rPr>
        <w:t>学科形成了稳定的、国内外具有一定影响的</w:t>
      </w:r>
      <w:r>
        <w:rPr>
          <w:rFonts w:ascii="仿宋" w:eastAsia="仿宋" w:hAnsi="仿宋" w:hint="eastAsia"/>
          <w:szCs w:val="24"/>
        </w:rPr>
        <w:t>4</w:t>
      </w:r>
      <w:r>
        <w:rPr>
          <w:rFonts w:ascii="仿宋" w:eastAsia="仿宋" w:hAnsi="仿宋"/>
          <w:szCs w:val="24"/>
        </w:rPr>
        <w:t>个研究方向，包括化工过程强化、过程装备安全技术及可靠性、化工</w:t>
      </w:r>
      <w:proofErr w:type="gramStart"/>
      <w:r>
        <w:rPr>
          <w:rFonts w:ascii="仿宋" w:eastAsia="仿宋" w:hAnsi="仿宋"/>
          <w:szCs w:val="24"/>
        </w:rPr>
        <w:t>设备场</w:t>
      </w:r>
      <w:proofErr w:type="gramEnd"/>
      <w:r>
        <w:rPr>
          <w:rFonts w:ascii="仿宋" w:eastAsia="仿宋" w:hAnsi="仿宋"/>
          <w:szCs w:val="24"/>
        </w:rPr>
        <w:t>特性及其优化、流体输送技术及理论、工业</w:t>
      </w:r>
      <w:proofErr w:type="gramStart"/>
      <w:r>
        <w:rPr>
          <w:rFonts w:ascii="仿宋" w:eastAsia="仿宋" w:hAnsi="仿宋"/>
          <w:szCs w:val="24"/>
        </w:rPr>
        <w:t>热过程</w:t>
      </w:r>
      <w:proofErr w:type="gramEnd"/>
      <w:r>
        <w:rPr>
          <w:rFonts w:ascii="仿宋" w:eastAsia="仿宋" w:hAnsi="仿宋"/>
          <w:szCs w:val="24"/>
        </w:rPr>
        <w:t>理论与技术等。经过多年的建设与发展，形成了</w:t>
      </w:r>
      <w:r>
        <w:rPr>
          <w:rFonts w:ascii="仿宋" w:eastAsia="仿宋" w:hAnsi="仿宋" w:hint="eastAsia"/>
          <w:szCs w:val="24"/>
        </w:rPr>
        <w:t>“</w:t>
      </w:r>
      <w:r>
        <w:rPr>
          <w:rFonts w:ascii="仿宋" w:eastAsia="仿宋" w:hAnsi="仿宋"/>
          <w:szCs w:val="24"/>
        </w:rPr>
        <w:t>面向过程行业，注重应用基础研究，强调技术创新和工程应用</w:t>
      </w:r>
      <w:r>
        <w:rPr>
          <w:rFonts w:ascii="仿宋" w:eastAsia="仿宋" w:hAnsi="仿宋" w:hint="eastAsia"/>
          <w:szCs w:val="24"/>
        </w:rPr>
        <w:t>”</w:t>
      </w:r>
      <w:r>
        <w:rPr>
          <w:rFonts w:ascii="仿宋" w:eastAsia="仿宋" w:hAnsi="仿宋"/>
          <w:szCs w:val="24"/>
        </w:rPr>
        <w:t>的学科特色。在化工过程强化方面取得了多项国际领先、国内首创的自主核心技术，众多科研成果成功应用到了国内多家大中型企业，创造了显著的经济、社会和环境效益。</w:t>
      </w:r>
    </w:p>
    <w:p w:rsidR="004811B2" w:rsidRDefault="001F6451">
      <w:pPr>
        <w:ind w:firstLineChars="200" w:firstLine="640"/>
        <w:rPr>
          <w:rFonts w:ascii="仿宋" w:eastAsia="仿宋" w:hAnsi="仿宋"/>
        </w:rPr>
      </w:pPr>
      <w:r>
        <w:rPr>
          <w:rFonts w:ascii="仿宋" w:eastAsia="仿宋" w:hAnsi="仿宋" w:hint="eastAsia"/>
        </w:rPr>
        <w:t>机械工程学科相关本科专业“橡胶机械”成立于1987年，在1996年获批的“化工过程机械”硕士点中设置了“高聚物工艺原理与设备”研究方向，在此基础上逐步发展壮大。2006年申请并获批了二级学科硕士点“机械设计及理论”，2010年申请并获批一级学科硕士点“机械工程”。本学科已</w:t>
      </w:r>
      <w:r>
        <w:rPr>
          <w:rFonts w:ascii="仿宋" w:eastAsia="仿宋" w:hAnsi="仿宋" w:hint="eastAsia"/>
        </w:rPr>
        <w:lastRenderedPageBreak/>
        <w:t>形成机械设计及理论、机械制造及其自动化、机械电子工程、金属材料及腐蚀防护技术4个稳定的、国内具有一定影响的学科方向，在机械可靠性研究方面到达了国际先进水平。</w:t>
      </w:r>
    </w:p>
    <w:p w:rsidR="004811B2" w:rsidRDefault="001F6451">
      <w:pPr>
        <w:pStyle w:val="3"/>
        <w:spacing w:line="560" w:lineRule="exact"/>
        <w:ind w:firstLine="643"/>
        <w:rPr>
          <w:rStyle w:val="NormalCharacter"/>
          <w:rFonts w:ascii="楷体" w:eastAsia="楷体" w:hAnsi="楷体" w:cs="方正仿宋简体"/>
          <w:b/>
          <w:color w:val="auto"/>
          <w:szCs w:val="32"/>
        </w:rPr>
      </w:pPr>
      <w:r>
        <w:rPr>
          <w:rStyle w:val="NormalCharacter"/>
          <w:rFonts w:ascii="楷体" w:eastAsia="楷体" w:hAnsi="楷体" w:cs="方正仿宋简体" w:hint="eastAsia"/>
          <w:b/>
          <w:color w:val="auto"/>
          <w:szCs w:val="32"/>
        </w:rPr>
        <w:t>（二）学科（领域）建设情况</w:t>
      </w:r>
    </w:p>
    <w:p w:rsidR="004811B2" w:rsidRDefault="001F6451">
      <w:pPr>
        <w:ind w:firstLineChars="200" w:firstLine="640"/>
        <w:rPr>
          <w:rFonts w:ascii="仿宋" w:eastAsia="仿宋" w:hAnsi="仿宋"/>
        </w:rPr>
      </w:pPr>
      <w:r>
        <w:rPr>
          <w:rFonts w:ascii="仿宋" w:eastAsia="仿宋" w:hAnsi="仿宋" w:hint="eastAsia"/>
        </w:rPr>
        <w:t>动力工程及工程热物理学科师资队伍实力雄厚。拥有长江学者特聘教授、国家级教学名师、全国模范教师、全国优秀教师、享受国务院政府特殊津贴专家、辽宁省特聘教授、辽宁省教学名师、辽宁省学科带头人、辽宁省专业带头人、辽宁省优秀青年骨干教师、辽宁省百千万人才工程人选、中国石油和化学工业联合会教学名师等高端人才。“化工静态混合反应技术及装置”科研团队被评为辽宁省高等学校（科研）创新团队，“过程装备与控制工程专业教学团队”被评为辽宁省高等学校优秀教学团队、全国石油和化工行业优秀教学团队。本学位点学术研究成果丰富。近年来获国家科技进步二等奖1项，国防科学技术奖一等奖1项，获辽宁省科技进步一等奖4项，中石化科技进步和技术发明一等奖各1项；近五年，本学位授权点共承担国家、省、市</w:t>
      </w:r>
      <w:r w:rsidRPr="00545034">
        <w:rPr>
          <w:rFonts w:ascii="仿宋" w:eastAsia="仿宋" w:hAnsi="仿宋" w:hint="eastAsia"/>
        </w:rPr>
        <w:t>科研课题及横向课题65项，科研到账总经费达2381万元，年</w:t>
      </w:r>
      <w:r w:rsidR="00187070" w:rsidRPr="00545034">
        <w:rPr>
          <w:rFonts w:ascii="仿宋" w:eastAsia="仿宋" w:hAnsi="仿宋" w:hint="eastAsia"/>
        </w:rPr>
        <w:t>平</w:t>
      </w:r>
      <w:r w:rsidRPr="00545034">
        <w:rPr>
          <w:rFonts w:ascii="仿宋" w:eastAsia="仿宋" w:hAnsi="仿宋" w:hint="eastAsia"/>
        </w:rPr>
        <w:t>均经费13.5万元；发表高水平论文300余篇，其中被SCI、EI检索170余篇；编写教材5部；授权国家发明专利32项；转化</w:t>
      </w:r>
      <w:r>
        <w:rPr>
          <w:rFonts w:ascii="仿宋" w:eastAsia="仿宋" w:hAnsi="仿宋" w:hint="eastAsia"/>
        </w:rPr>
        <w:t>应用专利16项，创造经济效益数亿元。本学科现拥有国家实验教学示范中心、省级工程技术研究中心、省级重点实验室</w:t>
      </w:r>
      <w:r>
        <w:rPr>
          <w:rFonts w:ascii="仿宋" w:eastAsia="仿宋" w:hAnsi="仿宋" w:hint="eastAsia"/>
        </w:rPr>
        <w:lastRenderedPageBreak/>
        <w:t>等多个国家及省部级教学科研平台。教学科研仪器充足，资产总值3400余万元。获省部级教学成果奖8项。</w:t>
      </w:r>
    </w:p>
    <w:p w:rsidR="004811B2" w:rsidRDefault="001F6451">
      <w:pPr>
        <w:ind w:firstLineChars="200" w:firstLine="640"/>
      </w:pPr>
      <w:bookmarkStart w:id="0" w:name="_Hlk513276628"/>
      <w:r>
        <w:rPr>
          <w:rFonts w:ascii="仿宋" w:eastAsia="仿宋" w:hAnsi="仿宋" w:hint="eastAsia"/>
        </w:rPr>
        <w:t>机械工程学科拥有“长江学者”特聘教授、长江学者和创新团队发展计划创新团队带头人、“十二五”中国机械工业科技创新领军人才等国家级人才、全国石化行业教学名师、宝钢优秀教师、辽宁省领军人才、辽宁省教学名师、辽宁省百千万人才工程“百人层次”人才、辽宁省优秀人才支持计划人选等人才</w:t>
      </w:r>
      <w:bookmarkEnd w:id="0"/>
      <w:r>
        <w:rPr>
          <w:rFonts w:ascii="仿宋" w:eastAsia="仿宋" w:hAnsi="仿宋" w:hint="eastAsia"/>
        </w:rPr>
        <w:t>。近年来，承担国家自然科学基金重点项目等6项、省部级以及企业科研课题26项。本学科的特色表现在两个方面：一是与装备制造业紧密结合，形成了机械装备可靠性和寿命预测理论与方法、高分子材料成型加工新技术与设备和化工装备机电一体化技术等具有优势和特色的研究方向；二是与学校特色和定位相适应，面向国家和地方需求，着重解决辽宁老工业基地装备制造技术领域面临的关键技术问题。</w:t>
      </w:r>
    </w:p>
    <w:p w:rsidR="004811B2" w:rsidRDefault="001F6451">
      <w:pPr>
        <w:pStyle w:val="3"/>
        <w:spacing w:line="560" w:lineRule="exact"/>
        <w:ind w:firstLine="643"/>
        <w:rPr>
          <w:rStyle w:val="NormalCharacter"/>
          <w:rFonts w:ascii="楷体" w:eastAsia="楷体" w:hAnsi="楷体" w:cs="方正仿宋简体"/>
          <w:b/>
          <w:color w:val="auto"/>
          <w:szCs w:val="32"/>
        </w:rPr>
      </w:pPr>
      <w:r>
        <w:rPr>
          <w:rStyle w:val="NormalCharacter"/>
          <w:rFonts w:ascii="楷体" w:eastAsia="楷体" w:hAnsi="楷体" w:cs="方正仿宋简体" w:hint="eastAsia"/>
          <w:b/>
          <w:color w:val="auto"/>
          <w:szCs w:val="32"/>
        </w:rPr>
        <w:t>（三）研究生招生、在读、毕业、学位授予及就业基本状况</w:t>
      </w:r>
    </w:p>
    <w:p w:rsidR="004811B2" w:rsidRDefault="001F6451">
      <w:pPr>
        <w:ind w:firstLineChars="200" w:firstLine="640"/>
        <w:rPr>
          <w:rFonts w:ascii="仿宋" w:eastAsia="仿宋" w:hAnsi="仿宋"/>
        </w:rPr>
      </w:pPr>
      <w:r>
        <w:rPr>
          <w:rFonts w:ascii="仿宋" w:eastAsia="仿宋" w:hAnsi="仿宋" w:hint="eastAsia"/>
        </w:rPr>
        <w:t>2022年度，我院共录取硕士研究生176人（其中动力工程及工程热物理学科含二级学科</w:t>
      </w:r>
      <w:proofErr w:type="gramStart"/>
      <w:r>
        <w:rPr>
          <w:rFonts w:ascii="仿宋" w:eastAsia="仿宋" w:hAnsi="仿宋" w:hint="eastAsia"/>
        </w:rPr>
        <w:t>及专硕</w:t>
      </w:r>
      <w:proofErr w:type="gramEnd"/>
      <w:r>
        <w:rPr>
          <w:rFonts w:ascii="仿宋" w:eastAsia="仿宋" w:hAnsi="仿宋" w:hint="eastAsia"/>
        </w:rPr>
        <w:t>114人，机械工程学科含二级学科</w:t>
      </w:r>
      <w:proofErr w:type="gramStart"/>
      <w:r>
        <w:rPr>
          <w:rFonts w:ascii="仿宋" w:eastAsia="仿宋" w:hAnsi="仿宋" w:hint="eastAsia"/>
        </w:rPr>
        <w:t>及专硕</w:t>
      </w:r>
      <w:proofErr w:type="gramEnd"/>
      <w:r>
        <w:rPr>
          <w:rFonts w:ascii="仿宋" w:eastAsia="仿宋" w:hAnsi="仿宋" w:hint="eastAsia"/>
        </w:rPr>
        <w:t>62人），与去年相比提高了8%，，再一次刷新我院历史最高录取人数。初试平均分为295分，高出国家录取分数线20分，同时录取的这些研究生分布更广，</w:t>
      </w:r>
      <w:r>
        <w:rPr>
          <w:rFonts w:ascii="仿宋" w:eastAsia="仿宋" w:hAnsi="仿宋" w:hint="eastAsia"/>
        </w:rPr>
        <w:lastRenderedPageBreak/>
        <w:t>众多考生来自于华北水利水电大学，山东建筑大学，辽宁大学，沈阳航空航天大学等较为知名的大学。其中，录取我校考生共计25人，占录取总数的14.5%，说明越来越多的我</w:t>
      </w:r>
      <w:proofErr w:type="gramStart"/>
      <w:r>
        <w:rPr>
          <w:rFonts w:ascii="仿宋" w:eastAsia="仿宋" w:hAnsi="仿宋" w:hint="eastAsia"/>
        </w:rPr>
        <w:t>校本科</w:t>
      </w:r>
      <w:proofErr w:type="gramEnd"/>
      <w:r>
        <w:rPr>
          <w:rFonts w:ascii="仿宋" w:eastAsia="仿宋" w:hAnsi="仿宋" w:hint="eastAsia"/>
        </w:rPr>
        <w:t>毕业生开始报考我校研究生。</w:t>
      </w:r>
    </w:p>
    <w:p w:rsidR="004811B2" w:rsidRDefault="001F6451">
      <w:pPr>
        <w:pStyle w:val="3"/>
        <w:spacing w:line="560" w:lineRule="exact"/>
        <w:rPr>
          <w:rFonts w:ascii="仿宋" w:eastAsia="仿宋" w:hAnsi="仿宋"/>
          <w:color w:val="auto"/>
          <w:szCs w:val="24"/>
        </w:rPr>
      </w:pPr>
      <w:r>
        <w:rPr>
          <w:rFonts w:ascii="仿宋" w:eastAsia="仿宋" w:hAnsi="仿宋" w:hint="eastAsia"/>
          <w:color w:val="auto"/>
          <w:szCs w:val="24"/>
        </w:rPr>
        <w:t>本年度，我院在读研究生共计429人，其中动力工程学科218人，机械工程211人。本院直接指导研究生351人，科教</w:t>
      </w:r>
      <w:proofErr w:type="gramStart"/>
      <w:r>
        <w:rPr>
          <w:rFonts w:ascii="仿宋" w:eastAsia="仿宋" w:hAnsi="仿宋" w:hint="eastAsia"/>
          <w:color w:val="auto"/>
          <w:szCs w:val="24"/>
        </w:rPr>
        <w:t>融合联培生</w:t>
      </w:r>
      <w:proofErr w:type="gramEnd"/>
      <w:r>
        <w:rPr>
          <w:rFonts w:ascii="仿宋" w:eastAsia="仿宋" w:hAnsi="仿宋" w:hint="eastAsia"/>
          <w:color w:val="auto"/>
          <w:szCs w:val="24"/>
        </w:rPr>
        <w:t>30人，我校科研院所（产</w:t>
      </w:r>
      <w:proofErr w:type="gramStart"/>
      <w:r>
        <w:rPr>
          <w:rFonts w:ascii="仿宋" w:eastAsia="仿宋" w:hAnsi="仿宋" w:hint="eastAsia"/>
          <w:color w:val="auto"/>
          <w:szCs w:val="24"/>
        </w:rPr>
        <w:t>研</w:t>
      </w:r>
      <w:proofErr w:type="gramEnd"/>
      <w:r>
        <w:rPr>
          <w:rFonts w:ascii="仿宋" w:eastAsia="仿宋" w:hAnsi="仿宋" w:hint="eastAsia"/>
          <w:color w:val="auto"/>
          <w:szCs w:val="24"/>
        </w:rPr>
        <w:t>院和装备所）研究生48人。</w:t>
      </w:r>
      <w:proofErr w:type="gramStart"/>
      <w:r>
        <w:rPr>
          <w:rFonts w:ascii="仿宋" w:eastAsia="仿宋" w:hAnsi="仿宋" w:hint="eastAsia"/>
          <w:color w:val="auto"/>
          <w:szCs w:val="24"/>
        </w:rPr>
        <w:t>研</w:t>
      </w:r>
      <w:proofErr w:type="gramEnd"/>
      <w:r>
        <w:rPr>
          <w:rFonts w:ascii="仿宋" w:eastAsia="仿宋" w:hAnsi="仿宋" w:hint="eastAsia"/>
          <w:color w:val="auto"/>
          <w:szCs w:val="24"/>
        </w:rPr>
        <w:t>三</w:t>
      </w:r>
      <w:proofErr w:type="gramStart"/>
      <w:r>
        <w:rPr>
          <w:rFonts w:ascii="仿宋" w:eastAsia="仿宋" w:hAnsi="仿宋" w:hint="eastAsia"/>
          <w:color w:val="auto"/>
          <w:szCs w:val="24"/>
        </w:rPr>
        <w:t>89</w:t>
      </w:r>
      <w:proofErr w:type="gramEnd"/>
      <w:r>
        <w:rPr>
          <w:rFonts w:ascii="仿宋" w:eastAsia="仿宋" w:hAnsi="仿宋" w:hint="eastAsia"/>
          <w:color w:val="auto"/>
          <w:szCs w:val="24"/>
        </w:rPr>
        <w:t>人，</w:t>
      </w:r>
      <w:proofErr w:type="gramStart"/>
      <w:r>
        <w:rPr>
          <w:rFonts w:ascii="仿宋" w:eastAsia="仿宋" w:hAnsi="仿宋" w:hint="eastAsia"/>
          <w:color w:val="auto"/>
          <w:szCs w:val="24"/>
        </w:rPr>
        <w:t>研</w:t>
      </w:r>
      <w:proofErr w:type="gramEnd"/>
      <w:r>
        <w:rPr>
          <w:rFonts w:ascii="仿宋" w:eastAsia="仿宋" w:hAnsi="仿宋" w:hint="eastAsia"/>
          <w:color w:val="auto"/>
          <w:szCs w:val="24"/>
        </w:rPr>
        <w:t>二</w:t>
      </w:r>
      <w:proofErr w:type="gramStart"/>
      <w:r>
        <w:rPr>
          <w:rFonts w:ascii="仿宋" w:eastAsia="仿宋" w:hAnsi="仿宋" w:hint="eastAsia"/>
          <w:color w:val="auto"/>
          <w:szCs w:val="24"/>
        </w:rPr>
        <w:t>162</w:t>
      </w:r>
      <w:proofErr w:type="gramEnd"/>
      <w:r>
        <w:rPr>
          <w:rFonts w:ascii="仿宋" w:eastAsia="仿宋" w:hAnsi="仿宋" w:hint="eastAsia"/>
          <w:color w:val="auto"/>
          <w:szCs w:val="24"/>
        </w:rPr>
        <w:t>人，</w:t>
      </w:r>
      <w:proofErr w:type="gramStart"/>
      <w:r>
        <w:rPr>
          <w:rFonts w:ascii="仿宋" w:eastAsia="仿宋" w:hAnsi="仿宋" w:hint="eastAsia"/>
          <w:color w:val="auto"/>
          <w:szCs w:val="24"/>
        </w:rPr>
        <w:t>研</w:t>
      </w:r>
      <w:proofErr w:type="gramEnd"/>
      <w:r>
        <w:rPr>
          <w:rFonts w:ascii="仿宋" w:eastAsia="仿宋" w:hAnsi="仿宋" w:hint="eastAsia"/>
          <w:color w:val="auto"/>
          <w:szCs w:val="24"/>
        </w:rPr>
        <w:t>一</w:t>
      </w:r>
      <w:proofErr w:type="gramStart"/>
      <w:r>
        <w:rPr>
          <w:rFonts w:ascii="仿宋" w:eastAsia="仿宋" w:hAnsi="仿宋" w:hint="eastAsia"/>
          <w:color w:val="auto"/>
          <w:szCs w:val="24"/>
        </w:rPr>
        <w:t>178</w:t>
      </w:r>
      <w:proofErr w:type="gramEnd"/>
      <w:r>
        <w:rPr>
          <w:rFonts w:ascii="仿宋" w:eastAsia="仿宋" w:hAnsi="仿宋" w:hint="eastAsia"/>
          <w:color w:val="auto"/>
          <w:szCs w:val="24"/>
        </w:rPr>
        <w:t>人，即将年底毕业答辩研究生89人。</w:t>
      </w:r>
    </w:p>
    <w:p w:rsidR="004811B2" w:rsidRDefault="001F6451">
      <w:pPr>
        <w:pStyle w:val="3"/>
        <w:spacing w:line="560" w:lineRule="exact"/>
        <w:rPr>
          <w:rFonts w:ascii="仿宋" w:eastAsia="仿宋" w:hAnsi="仿宋"/>
          <w:color w:val="auto"/>
          <w:szCs w:val="24"/>
        </w:rPr>
      </w:pPr>
      <w:r>
        <w:rPr>
          <w:rFonts w:ascii="仿宋" w:eastAsia="仿宋" w:hAnsi="仿宋" w:hint="eastAsia"/>
          <w:color w:val="auto"/>
          <w:szCs w:val="24"/>
        </w:rPr>
        <w:t>本年度毕业研究生87人，动力工程学科64人，机械工程学科23人，全部获得硕士学位，其中一月份毕业68人，六月份毕业19人。所有毕业生全部就业（就业率100%），其中攻读博士学位11人，高校及事业单位就业13人，企业就业74人。</w:t>
      </w:r>
    </w:p>
    <w:p w:rsidR="004811B2" w:rsidRDefault="001F6451">
      <w:pPr>
        <w:pStyle w:val="3"/>
        <w:spacing w:line="560" w:lineRule="exact"/>
        <w:ind w:firstLine="643"/>
        <w:rPr>
          <w:rStyle w:val="NormalCharacter"/>
          <w:rFonts w:ascii="楷体" w:eastAsia="楷体" w:hAnsi="楷体" w:cs="方正仿宋简体"/>
          <w:b/>
          <w:color w:val="auto"/>
          <w:szCs w:val="32"/>
        </w:rPr>
      </w:pPr>
      <w:r>
        <w:rPr>
          <w:rStyle w:val="NormalCharacter"/>
          <w:rFonts w:ascii="楷体" w:eastAsia="楷体" w:hAnsi="楷体" w:cs="方正仿宋简体" w:hint="eastAsia"/>
          <w:b/>
          <w:color w:val="auto"/>
          <w:szCs w:val="32"/>
        </w:rPr>
        <w:t>（四）研究生导师状况（总体规模、队伍结构）</w:t>
      </w:r>
    </w:p>
    <w:p w:rsidR="004811B2" w:rsidRDefault="001F6451">
      <w:pPr>
        <w:ind w:firstLineChars="200" w:firstLine="640"/>
      </w:pPr>
      <w:r>
        <w:rPr>
          <w:rFonts w:ascii="仿宋" w:eastAsia="仿宋" w:hAnsi="仿宋" w:hint="eastAsia"/>
        </w:rPr>
        <w:t>本学院现有硕士导师49人，其中动力工程学科29人，机械工程学科20人。35岁及以下导师8人，36岁至45岁导师22人，46岁至55岁导师15人，56岁以上导师4人，全部具有博士学位。导师的职称</w:t>
      </w:r>
      <w:r w:rsidRPr="00545034">
        <w:rPr>
          <w:rFonts w:ascii="仿宋" w:eastAsia="仿宋" w:hAnsi="仿宋" w:hint="eastAsia"/>
        </w:rPr>
        <w:t>结构较为合理，其中教授15人，副教授22人，讲师12人。我院直接指导研究生的生师比为1:7.5，意味着每名导师每年</w:t>
      </w:r>
      <w:proofErr w:type="gramStart"/>
      <w:r w:rsidRPr="00545034">
        <w:rPr>
          <w:rFonts w:ascii="仿宋" w:eastAsia="仿宋" w:hAnsi="仿宋" w:hint="eastAsia"/>
        </w:rPr>
        <w:t>平均指导</w:t>
      </w:r>
      <w:proofErr w:type="gramEnd"/>
      <w:r w:rsidRPr="00545034">
        <w:rPr>
          <w:rFonts w:ascii="仿宋" w:eastAsia="仿宋" w:hAnsi="仿宋" w:hint="eastAsia"/>
        </w:rPr>
        <w:t>2.5名研究生，师生比比较合理。</w:t>
      </w:r>
    </w:p>
    <w:p w:rsidR="004811B2" w:rsidRDefault="001F6451">
      <w:pPr>
        <w:pStyle w:val="3"/>
        <w:spacing w:line="560" w:lineRule="exact"/>
        <w:rPr>
          <w:rStyle w:val="NormalCharacter"/>
          <w:rFonts w:ascii="黑体" w:eastAsia="黑体" w:hAnsi="黑体" w:cs="方正仿宋简体"/>
          <w:color w:val="auto"/>
          <w:szCs w:val="32"/>
        </w:rPr>
      </w:pPr>
      <w:r>
        <w:rPr>
          <w:rStyle w:val="NormalCharacter"/>
          <w:rFonts w:ascii="黑体" w:eastAsia="黑体" w:hAnsi="黑体" w:cs="方正仿宋简体" w:hint="eastAsia"/>
          <w:color w:val="auto"/>
          <w:szCs w:val="32"/>
        </w:rPr>
        <w:t>二、研究生党建与思想政治教育工作</w:t>
      </w:r>
    </w:p>
    <w:p w:rsidR="004811B2" w:rsidRDefault="001F6451">
      <w:pPr>
        <w:ind w:firstLineChars="200" w:firstLine="640"/>
        <w:rPr>
          <w:rFonts w:ascii="仿宋" w:eastAsia="仿宋" w:hAnsi="仿宋"/>
        </w:rPr>
      </w:pPr>
      <w:r>
        <w:rPr>
          <w:rFonts w:ascii="仿宋" w:eastAsia="仿宋" w:hAnsi="仿宋" w:hint="eastAsia"/>
        </w:rPr>
        <w:lastRenderedPageBreak/>
        <w:t>我院在校党委的亲切关怀下，以习近平新时代中国特色社会主义思想为指导，以全心全意为同学们服务为宗旨，全面开展各项工作，积极维护机械与动力工程学院研究生的利益，努力提升机械与动力工程学院的吸引力、凝聚力和战斗力，在组织建设、人才培养、活动建设和服务建设等方面取得了显著成果。</w:t>
      </w:r>
    </w:p>
    <w:p w:rsidR="004811B2" w:rsidRDefault="001F6451">
      <w:pPr>
        <w:pStyle w:val="3"/>
        <w:spacing w:line="560" w:lineRule="exact"/>
        <w:ind w:firstLine="643"/>
        <w:rPr>
          <w:rStyle w:val="NormalCharacter"/>
          <w:rFonts w:ascii="楷体" w:eastAsia="楷体" w:hAnsi="楷体" w:cs="方正仿宋简体"/>
          <w:b/>
          <w:color w:val="auto"/>
          <w:szCs w:val="32"/>
        </w:rPr>
      </w:pPr>
      <w:r>
        <w:rPr>
          <w:rStyle w:val="NormalCharacter"/>
          <w:rFonts w:ascii="楷体" w:eastAsia="楷体" w:hAnsi="楷体" w:cs="方正仿宋简体" w:hint="eastAsia"/>
          <w:b/>
          <w:color w:val="auto"/>
          <w:szCs w:val="32"/>
        </w:rPr>
        <w:t>（一）思想政治教育队伍建设</w:t>
      </w:r>
    </w:p>
    <w:p w:rsidR="004811B2" w:rsidRDefault="001F6451">
      <w:pPr>
        <w:ind w:firstLineChars="200" w:firstLine="640"/>
        <w:rPr>
          <w:rFonts w:ascii="仿宋" w:eastAsia="仿宋" w:hAnsi="仿宋"/>
        </w:rPr>
      </w:pPr>
      <w:r>
        <w:rPr>
          <w:rFonts w:ascii="仿宋" w:eastAsia="仿宋" w:hAnsi="仿宋" w:hint="eastAsia"/>
        </w:rPr>
        <w:t>截至2022年底，机械与动力工程学院研究生党支部共有113名党员，其中研究生第一党支部共有56名党员，包含50名正式党员，6名预备党员，研究生第二党支部共有57名党员，包含52名正式党员，5名预备党员。成立了两个研究生党支部，支部书记分别由院党总支副书记和院团委书记担任，各支部的组织委员、宣传委员由党龄较长、能力突出的正式研究生党员担任。</w:t>
      </w:r>
    </w:p>
    <w:p w:rsidR="004811B2" w:rsidRDefault="001F6451">
      <w:pPr>
        <w:ind w:firstLineChars="200" w:firstLine="640"/>
      </w:pPr>
      <w:r>
        <w:rPr>
          <w:rFonts w:ascii="仿宋" w:eastAsia="仿宋" w:hAnsi="仿宋" w:hint="eastAsia"/>
        </w:rPr>
        <w:t>为了加强对研究生的思想政治教育工作，我院还为研究生配备了2名专职辅导</w:t>
      </w:r>
      <w:r w:rsidRPr="00545034">
        <w:rPr>
          <w:rFonts w:ascii="仿宋" w:eastAsia="仿宋" w:hAnsi="仿宋" w:hint="eastAsia"/>
        </w:rPr>
        <w:t>员，</w:t>
      </w:r>
      <w:r w:rsidR="00187070" w:rsidRPr="00545034">
        <w:rPr>
          <w:rFonts w:ascii="仿宋" w:eastAsia="仿宋" w:hAnsi="仿宋" w:hint="eastAsia"/>
        </w:rPr>
        <w:t>同时</w:t>
      </w:r>
      <w:r w:rsidRPr="00545034">
        <w:rPr>
          <w:rFonts w:ascii="仿宋" w:eastAsia="仿宋" w:hAnsi="仿宋" w:hint="eastAsia"/>
        </w:rPr>
        <w:t>还有2名专职组织员负责全院包括研究生的党务及思想政治教育工作。</w:t>
      </w:r>
    </w:p>
    <w:p w:rsidR="004811B2" w:rsidRDefault="001F6451">
      <w:pPr>
        <w:pStyle w:val="3"/>
        <w:spacing w:line="560" w:lineRule="exact"/>
        <w:ind w:firstLine="643"/>
        <w:rPr>
          <w:rStyle w:val="NormalCharacter"/>
          <w:rFonts w:ascii="楷体" w:eastAsia="楷体" w:hAnsi="楷体" w:cs="方正仿宋简体"/>
          <w:b/>
          <w:color w:val="auto"/>
          <w:szCs w:val="32"/>
        </w:rPr>
      </w:pPr>
      <w:r>
        <w:rPr>
          <w:rStyle w:val="NormalCharacter"/>
          <w:rFonts w:ascii="楷体" w:eastAsia="楷体" w:hAnsi="楷体" w:cs="方正仿宋简体" w:hint="eastAsia"/>
          <w:b/>
          <w:color w:val="auto"/>
          <w:szCs w:val="32"/>
        </w:rPr>
        <w:t>（二）理想信念和社会主义核心价值观教育</w:t>
      </w:r>
    </w:p>
    <w:p w:rsidR="004811B2" w:rsidRDefault="001F6451">
      <w:pPr>
        <w:ind w:firstLineChars="200" w:firstLine="640"/>
      </w:pPr>
      <w:r>
        <w:rPr>
          <w:rFonts w:ascii="仿宋" w:eastAsia="仿宋" w:hAnsi="仿宋" w:hint="eastAsia"/>
        </w:rPr>
        <w:t>为了加强对研究生理想信念和社会主义核心价值观教育，全面贯彻落</w:t>
      </w:r>
      <w:proofErr w:type="gramStart"/>
      <w:r>
        <w:rPr>
          <w:rFonts w:ascii="仿宋" w:eastAsia="仿宋" w:hAnsi="仿宋" w:hint="eastAsia"/>
        </w:rPr>
        <w:t>实习近</w:t>
      </w:r>
      <w:proofErr w:type="gramEnd"/>
      <w:r>
        <w:rPr>
          <w:rFonts w:ascii="仿宋" w:eastAsia="仿宋" w:hAnsi="仿宋" w:hint="eastAsia"/>
        </w:rPr>
        <w:t>平新时代中国特色社会主义思想和党的二十大精神，全面贯彻习近平总书记关于青年工作的重要思想，团结带领全校青年坚定不移听党话、跟党走，怀抱梦</w:t>
      </w:r>
      <w:r>
        <w:rPr>
          <w:rFonts w:ascii="仿宋" w:eastAsia="仿宋" w:hAnsi="仿宋" w:hint="eastAsia"/>
        </w:rPr>
        <w:lastRenderedPageBreak/>
        <w:t>想又脚踏实地，敢想敢</w:t>
      </w:r>
      <w:r w:rsidRPr="00545034">
        <w:rPr>
          <w:rFonts w:ascii="仿宋" w:eastAsia="仿宋" w:hAnsi="仿宋" w:hint="eastAsia"/>
        </w:rPr>
        <w:t>为又善</w:t>
      </w:r>
      <w:r w:rsidR="00187070" w:rsidRPr="00545034">
        <w:rPr>
          <w:rFonts w:ascii="仿宋" w:eastAsia="仿宋" w:hAnsi="仿宋" w:hint="eastAsia"/>
        </w:rPr>
        <w:t>做</w:t>
      </w:r>
      <w:r w:rsidRPr="00545034">
        <w:rPr>
          <w:rFonts w:ascii="仿宋" w:eastAsia="仿宋" w:hAnsi="仿宋" w:hint="eastAsia"/>
        </w:rPr>
        <w:t>善成，立志</w:t>
      </w:r>
      <w:r>
        <w:rPr>
          <w:rFonts w:ascii="仿宋" w:eastAsia="仿宋" w:hAnsi="仿宋" w:hint="eastAsia"/>
        </w:rPr>
        <w:t>做有理想、敢担当、能吃苦、肯奋斗的新时代好青年，让青春在全面建设社会主义现代化国家的火热实践中绽放绚丽之花。我院团委决定开展“青春献礼二十大，砥砺奋进新征程”主题班团日活动。活动对象包括21级、</w:t>
      </w:r>
      <w:r>
        <w:rPr>
          <w:rFonts w:ascii="仿宋" w:eastAsia="仿宋" w:hAnsi="仿宋"/>
        </w:rPr>
        <w:t>22</w:t>
      </w:r>
      <w:r>
        <w:rPr>
          <w:rFonts w:ascii="仿宋" w:eastAsia="仿宋" w:hAnsi="仿宋" w:hint="eastAsia"/>
        </w:rPr>
        <w:t>级研究生，活动形式为各班级团支部开展交流分享会，本次团日活动同学们的学习热情空前强烈，通过二十大精神的学习，我们深刻的体会到</w:t>
      </w:r>
      <w:r>
        <w:rPr>
          <w:rFonts w:ascii="仿宋" w:eastAsia="仿宋" w:hAnsi="仿宋"/>
        </w:rPr>
        <w:t>:</w:t>
      </w:r>
      <w:r>
        <w:rPr>
          <w:rFonts w:ascii="仿宋" w:eastAsia="仿宋" w:hAnsi="仿宋" w:hint="eastAsia"/>
        </w:rPr>
        <w:t>中国的兴旺发达关键在党，民族的全面振兴关键在党。在实际工作中认真贯彻落实二十大精神，尤其作为学生，要进一步增强自身的政治意识和责任意识，要把思想和行动统一到二十大精神上来，解放思想，改革开放，凝聚力量，攻坚克难，坚定不移沿着中国特色社会主义道路前进，为全面建成小康社会而奋斗，在以后的学习工作中要始终坚持党的性质和宗旨，立足本职工作，取得更好成绩，为发展中国特色社会主义伟大事业，为推进党的建设新的伟大工程，做出更大贡献。</w:t>
      </w:r>
    </w:p>
    <w:p w:rsidR="004811B2" w:rsidRDefault="001F6451">
      <w:pPr>
        <w:rPr>
          <w:rFonts w:ascii="仿宋" w:eastAsia="仿宋" w:hAnsi="仿宋"/>
          <w:color w:val="FF0000"/>
          <w:highlight w:val="yellow"/>
        </w:rPr>
      </w:pPr>
      <w:r>
        <w:rPr>
          <w:noProof/>
        </w:rPr>
        <w:drawing>
          <wp:inline distT="0" distB="0" distL="114300" distR="114300">
            <wp:extent cx="2606675" cy="2009775"/>
            <wp:effectExtent l="0" t="0" r="3175" b="9525"/>
            <wp:docPr id="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7"/>
                    <pic:cNvPicPr>
                      <a:picLocks noChangeAspect="1"/>
                    </pic:cNvPicPr>
                  </pic:nvPicPr>
                  <pic:blipFill>
                    <a:blip r:embed="rId9"/>
                    <a:stretch>
                      <a:fillRect/>
                    </a:stretch>
                  </pic:blipFill>
                  <pic:spPr>
                    <a:xfrm>
                      <a:off x="0" y="0"/>
                      <a:ext cx="2606675" cy="2009775"/>
                    </a:xfrm>
                    <a:prstGeom prst="rect">
                      <a:avLst/>
                    </a:prstGeom>
                    <a:noFill/>
                    <a:ln>
                      <a:noFill/>
                    </a:ln>
                  </pic:spPr>
                </pic:pic>
              </a:graphicData>
            </a:graphic>
          </wp:inline>
        </w:drawing>
      </w:r>
      <w:r>
        <w:rPr>
          <w:noProof/>
        </w:rPr>
        <w:drawing>
          <wp:inline distT="0" distB="0" distL="114300" distR="114300">
            <wp:extent cx="2456180" cy="1994535"/>
            <wp:effectExtent l="0" t="0" r="1270" b="5715"/>
            <wp:docPr id="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8"/>
                    <pic:cNvPicPr>
                      <a:picLocks noChangeAspect="1"/>
                    </pic:cNvPicPr>
                  </pic:nvPicPr>
                  <pic:blipFill>
                    <a:blip r:embed="rId10"/>
                    <a:stretch>
                      <a:fillRect/>
                    </a:stretch>
                  </pic:blipFill>
                  <pic:spPr>
                    <a:xfrm>
                      <a:off x="0" y="0"/>
                      <a:ext cx="2456180" cy="1994535"/>
                    </a:xfrm>
                    <a:prstGeom prst="rect">
                      <a:avLst/>
                    </a:prstGeom>
                    <a:noFill/>
                    <a:ln>
                      <a:noFill/>
                    </a:ln>
                  </pic:spPr>
                </pic:pic>
              </a:graphicData>
            </a:graphic>
          </wp:inline>
        </w:drawing>
      </w:r>
    </w:p>
    <w:p w:rsidR="004811B2" w:rsidRDefault="004811B2">
      <w:pPr>
        <w:rPr>
          <w:rFonts w:ascii="仿宋" w:eastAsia="仿宋" w:hAnsi="仿宋"/>
          <w:color w:val="FF0000"/>
          <w:highlight w:val="yellow"/>
        </w:rPr>
      </w:pPr>
    </w:p>
    <w:p w:rsidR="004811B2" w:rsidRDefault="004811B2">
      <w:pPr>
        <w:rPr>
          <w:rFonts w:ascii="仿宋" w:eastAsia="仿宋" w:hAnsi="仿宋"/>
          <w:color w:val="FF0000"/>
          <w:highlight w:val="yellow"/>
        </w:rPr>
      </w:pPr>
    </w:p>
    <w:p w:rsidR="004811B2" w:rsidRDefault="001F6451">
      <w:pPr>
        <w:rPr>
          <w:rFonts w:ascii="仿宋" w:eastAsia="仿宋" w:hAnsi="仿宋"/>
          <w:color w:val="FF0000"/>
          <w:highlight w:val="yellow"/>
        </w:rPr>
      </w:pPr>
      <w:r>
        <w:rPr>
          <w:noProof/>
        </w:rPr>
        <w:drawing>
          <wp:inline distT="0" distB="0" distL="114300" distR="114300">
            <wp:extent cx="2602230" cy="1950720"/>
            <wp:effectExtent l="0" t="0" r="7620" b="11430"/>
            <wp:docPr id="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9"/>
                    <pic:cNvPicPr>
                      <a:picLocks noChangeAspect="1"/>
                    </pic:cNvPicPr>
                  </pic:nvPicPr>
                  <pic:blipFill>
                    <a:blip r:embed="rId11"/>
                    <a:stretch>
                      <a:fillRect/>
                    </a:stretch>
                  </pic:blipFill>
                  <pic:spPr>
                    <a:xfrm>
                      <a:off x="0" y="0"/>
                      <a:ext cx="2602230" cy="1950720"/>
                    </a:xfrm>
                    <a:prstGeom prst="rect">
                      <a:avLst/>
                    </a:prstGeom>
                    <a:noFill/>
                    <a:ln>
                      <a:noFill/>
                    </a:ln>
                  </pic:spPr>
                </pic:pic>
              </a:graphicData>
            </a:graphic>
          </wp:inline>
        </w:drawing>
      </w:r>
      <w:r>
        <w:rPr>
          <w:noProof/>
        </w:rPr>
        <w:drawing>
          <wp:inline distT="0" distB="0" distL="114300" distR="114300">
            <wp:extent cx="2621280" cy="2032635"/>
            <wp:effectExtent l="0" t="0" r="7620" b="5715"/>
            <wp:docPr id="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0"/>
                    <pic:cNvPicPr>
                      <a:picLocks noChangeAspect="1"/>
                    </pic:cNvPicPr>
                  </pic:nvPicPr>
                  <pic:blipFill>
                    <a:blip r:embed="rId12"/>
                    <a:stretch>
                      <a:fillRect/>
                    </a:stretch>
                  </pic:blipFill>
                  <pic:spPr>
                    <a:xfrm>
                      <a:off x="0" y="0"/>
                      <a:ext cx="2621280" cy="2032635"/>
                    </a:xfrm>
                    <a:prstGeom prst="rect">
                      <a:avLst/>
                    </a:prstGeom>
                    <a:noFill/>
                    <a:ln>
                      <a:noFill/>
                    </a:ln>
                  </pic:spPr>
                </pic:pic>
              </a:graphicData>
            </a:graphic>
          </wp:inline>
        </w:drawing>
      </w:r>
    </w:p>
    <w:p w:rsidR="004811B2" w:rsidRDefault="001F6451">
      <w:pPr>
        <w:rPr>
          <w:rFonts w:ascii="仿宋" w:eastAsia="仿宋" w:hAnsi="仿宋"/>
          <w:color w:val="FF0000"/>
          <w:highlight w:val="yellow"/>
        </w:rPr>
      </w:pPr>
      <w:r>
        <w:rPr>
          <w:noProof/>
        </w:rPr>
        <w:drawing>
          <wp:inline distT="0" distB="0" distL="114300" distR="114300">
            <wp:extent cx="5270500" cy="3280410"/>
            <wp:effectExtent l="0" t="0" r="6350" b="15240"/>
            <wp:docPr id="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1"/>
                    <pic:cNvPicPr>
                      <a:picLocks noChangeAspect="1"/>
                    </pic:cNvPicPr>
                  </pic:nvPicPr>
                  <pic:blipFill>
                    <a:blip r:embed="rId13"/>
                    <a:stretch>
                      <a:fillRect/>
                    </a:stretch>
                  </pic:blipFill>
                  <pic:spPr>
                    <a:xfrm>
                      <a:off x="0" y="0"/>
                      <a:ext cx="5270500" cy="3280410"/>
                    </a:xfrm>
                    <a:prstGeom prst="rect">
                      <a:avLst/>
                    </a:prstGeom>
                    <a:noFill/>
                    <a:ln>
                      <a:noFill/>
                    </a:ln>
                  </pic:spPr>
                </pic:pic>
              </a:graphicData>
            </a:graphic>
          </wp:inline>
        </w:drawing>
      </w:r>
    </w:p>
    <w:p w:rsidR="004811B2" w:rsidRDefault="001F6451">
      <w:pPr>
        <w:pStyle w:val="3"/>
        <w:spacing w:line="560" w:lineRule="exact"/>
        <w:ind w:firstLine="643"/>
        <w:rPr>
          <w:rStyle w:val="NormalCharacter"/>
          <w:rFonts w:ascii="楷体" w:eastAsia="楷体" w:hAnsi="楷体" w:cs="方正仿宋简体"/>
          <w:b/>
          <w:color w:val="auto"/>
          <w:szCs w:val="32"/>
        </w:rPr>
      </w:pPr>
      <w:r>
        <w:rPr>
          <w:rStyle w:val="NormalCharacter"/>
          <w:rFonts w:ascii="楷体" w:eastAsia="楷体" w:hAnsi="楷体" w:cs="方正仿宋简体" w:hint="eastAsia"/>
          <w:b/>
          <w:color w:val="auto"/>
          <w:szCs w:val="32"/>
        </w:rPr>
        <w:t>（三）校园文化建设</w:t>
      </w:r>
    </w:p>
    <w:p w:rsidR="004811B2" w:rsidRDefault="001F6451">
      <w:pPr>
        <w:rPr>
          <w:rFonts w:ascii="仿宋" w:eastAsia="仿宋" w:hAnsi="仿宋"/>
        </w:rPr>
      </w:pPr>
      <w:r>
        <w:rPr>
          <w:rFonts w:ascii="仿宋" w:eastAsia="仿宋" w:hAnsi="仿宋" w:hint="eastAsia"/>
        </w:rPr>
        <w:t>1.相约机动，</w:t>
      </w:r>
      <w:proofErr w:type="gramStart"/>
      <w:r>
        <w:rPr>
          <w:rFonts w:ascii="仿宋" w:eastAsia="仿宋" w:hAnsi="仿宋" w:hint="eastAsia"/>
        </w:rPr>
        <w:t>燃梦青春</w:t>
      </w:r>
      <w:proofErr w:type="gramEnd"/>
      <w:r>
        <w:rPr>
          <w:rFonts w:ascii="仿宋" w:eastAsia="仿宋" w:hAnsi="仿宋" w:hint="eastAsia"/>
        </w:rPr>
        <w:t>----研究生会新生见面会</w:t>
      </w:r>
    </w:p>
    <w:p w:rsidR="004811B2" w:rsidRDefault="001F6451">
      <w:pPr>
        <w:ind w:firstLineChars="200" w:firstLine="640"/>
        <w:rPr>
          <w:rFonts w:ascii="仿宋" w:eastAsia="仿宋" w:hAnsi="仿宋"/>
        </w:rPr>
      </w:pPr>
      <w:r>
        <w:rPr>
          <w:rFonts w:ascii="仿宋" w:eastAsia="仿宋" w:hAnsi="仿宋" w:hint="eastAsia"/>
        </w:rPr>
        <w:t>随着机械与动力工程学院研究生学生会纳新工作的结束，我院学生会聚集了本院系大批人才。为了使同学们之间互相了解，增进感情的同时有效地促进下一阶段学生会工作的开展，通过新生见面会的形式，为新生提供一个交流的平台，在大家了解学生会工作的同时，也为未来更默契的团队</w:t>
      </w:r>
      <w:r>
        <w:rPr>
          <w:rFonts w:ascii="仿宋" w:eastAsia="仿宋" w:hAnsi="仿宋" w:hint="eastAsia"/>
        </w:rPr>
        <w:lastRenderedPageBreak/>
        <w:t>合作打基础。本次见面会不仅增加部门成员之间的了解，更能让每个人都感觉到自己像生活在一个大家庭中一样，对往后工作的开展奠定了坚实的基础。首先，会议由机械与动力工程学院上届学生会团委副书记张成松对会议进行了总结，强调了学习与工作的重要性，工作要做好、学习更要努力。把握好研究生三年时光，努力提升自己、完善自身。其次，学生会主席团成员刘德彬、段宜征、方龙飞、宋佳、何松</w:t>
      </w:r>
      <w:proofErr w:type="gramStart"/>
      <w:r>
        <w:rPr>
          <w:rFonts w:ascii="仿宋" w:eastAsia="仿宋" w:hAnsi="仿宋" w:hint="eastAsia"/>
        </w:rPr>
        <w:t>霖</w:t>
      </w:r>
      <w:proofErr w:type="gramEnd"/>
      <w:r>
        <w:rPr>
          <w:rFonts w:ascii="仿宋" w:eastAsia="仿宋" w:hAnsi="仿宋" w:hint="eastAsia"/>
        </w:rPr>
        <w:t>、于佳分别进行了自我介绍，并对本部门的总体情况和工作职责进行介绍。接着是新干事进行自我介绍，各个部门之间进行了融洽的友好交流加深了大家之间的了解。</w:t>
      </w:r>
    </w:p>
    <w:p w:rsidR="004811B2" w:rsidRDefault="001F6451">
      <w:r>
        <w:rPr>
          <w:noProof/>
        </w:rPr>
        <w:drawing>
          <wp:inline distT="0" distB="0" distL="114300" distR="114300">
            <wp:extent cx="2578735" cy="1936115"/>
            <wp:effectExtent l="0" t="0" r="12065" b="6985"/>
            <wp:docPr id="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3"/>
                    <pic:cNvPicPr>
                      <a:picLocks noChangeAspect="1"/>
                    </pic:cNvPicPr>
                  </pic:nvPicPr>
                  <pic:blipFill>
                    <a:blip r:embed="rId14"/>
                    <a:stretch>
                      <a:fillRect/>
                    </a:stretch>
                  </pic:blipFill>
                  <pic:spPr>
                    <a:xfrm>
                      <a:off x="0" y="0"/>
                      <a:ext cx="2578735" cy="1936115"/>
                    </a:xfrm>
                    <a:prstGeom prst="rect">
                      <a:avLst/>
                    </a:prstGeom>
                    <a:noFill/>
                    <a:ln>
                      <a:noFill/>
                    </a:ln>
                  </pic:spPr>
                </pic:pic>
              </a:graphicData>
            </a:graphic>
          </wp:inline>
        </w:drawing>
      </w:r>
      <w:r>
        <w:rPr>
          <w:noProof/>
        </w:rPr>
        <w:drawing>
          <wp:inline distT="0" distB="0" distL="114300" distR="114300">
            <wp:extent cx="2585720" cy="1945005"/>
            <wp:effectExtent l="0" t="0" r="5080" b="17145"/>
            <wp:docPr id="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4"/>
                    <pic:cNvPicPr>
                      <a:picLocks noChangeAspect="1"/>
                    </pic:cNvPicPr>
                  </pic:nvPicPr>
                  <pic:blipFill>
                    <a:blip r:embed="rId15"/>
                    <a:stretch>
                      <a:fillRect/>
                    </a:stretch>
                  </pic:blipFill>
                  <pic:spPr>
                    <a:xfrm>
                      <a:off x="0" y="0"/>
                      <a:ext cx="2585720" cy="1945005"/>
                    </a:xfrm>
                    <a:prstGeom prst="rect">
                      <a:avLst/>
                    </a:prstGeom>
                    <a:noFill/>
                    <a:ln>
                      <a:noFill/>
                    </a:ln>
                  </pic:spPr>
                </pic:pic>
              </a:graphicData>
            </a:graphic>
          </wp:inline>
        </w:drawing>
      </w:r>
    </w:p>
    <w:p w:rsidR="004811B2" w:rsidRDefault="004811B2"/>
    <w:p w:rsidR="004811B2" w:rsidRDefault="001F6451">
      <w:r>
        <w:rPr>
          <w:noProof/>
        </w:rPr>
        <w:drawing>
          <wp:inline distT="0" distB="0" distL="114300" distR="114300">
            <wp:extent cx="2618105" cy="1965325"/>
            <wp:effectExtent l="0" t="0" r="10795" b="15875"/>
            <wp:docPr id="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5"/>
                    <pic:cNvPicPr>
                      <a:picLocks noChangeAspect="1"/>
                    </pic:cNvPicPr>
                  </pic:nvPicPr>
                  <pic:blipFill>
                    <a:blip r:embed="rId16"/>
                    <a:stretch>
                      <a:fillRect/>
                    </a:stretch>
                  </pic:blipFill>
                  <pic:spPr>
                    <a:xfrm>
                      <a:off x="0" y="0"/>
                      <a:ext cx="2618105" cy="1965325"/>
                    </a:xfrm>
                    <a:prstGeom prst="rect">
                      <a:avLst/>
                    </a:prstGeom>
                    <a:noFill/>
                    <a:ln>
                      <a:noFill/>
                    </a:ln>
                  </pic:spPr>
                </pic:pic>
              </a:graphicData>
            </a:graphic>
          </wp:inline>
        </w:drawing>
      </w:r>
      <w:r>
        <w:rPr>
          <w:noProof/>
        </w:rPr>
        <w:drawing>
          <wp:inline distT="0" distB="0" distL="114300" distR="114300">
            <wp:extent cx="2626360" cy="1971040"/>
            <wp:effectExtent l="0" t="0" r="2540" b="10160"/>
            <wp:docPr id="1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6"/>
                    <pic:cNvPicPr>
                      <a:picLocks noChangeAspect="1"/>
                    </pic:cNvPicPr>
                  </pic:nvPicPr>
                  <pic:blipFill>
                    <a:blip r:embed="rId17"/>
                    <a:stretch>
                      <a:fillRect/>
                    </a:stretch>
                  </pic:blipFill>
                  <pic:spPr>
                    <a:xfrm>
                      <a:off x="0" y="0"/>
                      <a:ext cx="2626360" cy="1971040"/>
                    </a:xfrm>
                    <a:prstGeom prst="rect">
                      <a:avLst/>
                    </a:prstGeom>
                    <a:noFill/>
                    <a:ln>
                      <a:noFill/>
                    </a:ln>
                  </pic:spPr>
                </pic:pic>
              </a:graphicData>
            </a:graphic>
          </wp:inline>
        </w:drawing>
      </w:r>
    </w:p>
    <w:p w:rsidR="004811B2" w:rsidRDefault="001F6451">
      <w:r>
        <w:rPr>
          <w:noProof/>
        </w:rPr>
        <w:lastRenderedPageBreak/>
        <w:drawing>
          <wp:inline distT="0" distB="0" distL="114300" distR="114300">
            <wp:extent cx="2643505" cy="1985010"/>
            <wp:effectExtent l="0" t="0" r="4445" b="15240"/>
            <wp:docPr id="1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7"/>
                    <pic:cNvPicPr>
                      <a:picLocks noChangeAspect="1"/>
                    </pic:cNvPicPr>
                  </pic:nvPicPr>
                  <pic:blipFill>
                    <a:blip r:embed="rId18"/>
                    <a:stretch>
                      <a:fillRect/>
                    </a:stretch>
                  </pic:blipFill>
                  <pic:spPr>
                    <a:xfrm>
                      <a:off x="0" y="0"/>
                      <a:ext cx="2643505" cy="1985010"/>
                    </a:xfrm>
                    <a:prstGeom prst="rect">
                      <a:avLst/>
                    </a:prstGeom>
                    <a:noFill/>
                    <a:ln>
                      <a:noFill/>
                    </a:ln>
                  </pic:spPr>
                </pic:pic>
              </a:graphicData>
            </a:graphic>
          </wp:inline>
        </w:drawing>
      </w:r>
      <w:r>
        <w:rPr>
          <w:noProof/>
        </w:rPr>
        <w:drawing>
          <wp:inline distT="0" distB="0" distL="114300" distR="114300">
            <wp:extent cx="2607310" cy="1988820"/>
            <wp:effectExtent l="0" t="0" r="2540" b="11430"/>
            <wp:docPr id="1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8"/>
                    <pic:cNvPicPr>
                      <a:picLocks noChangeAspect="1"/>
                    </pic:cNvPicPr>
                  </pic:nvPicPr>
                  <pic:blipFill>
                    <a:blip r:embed="rId19"/>
                    <a:stretch>
                      <a:fillRect/>
                    </a:stretch>
                  </pic:blipFill>
                  <pic:spPr>
                    <a:xfrm>
                      <a:off x="0" y="0"/>
                      <a:ext cx="2607310" cy="1988820"/>
                    </a:xfrm>
                    <a:prstGeom prst="rect">
                      <a:avLst/>
                    </a:prstGeom>
                    <a:noFill/>
                    <a:ln>
                      <a:noFill/>
                    </a:ln>
                  </pic:spPr>
                </pic:pic>
              </a:graphicData>
            </a:graphic>
          </wp:inline>
        </w:drawing>
      </w:r>
    </w:p>
    <w:p w:rsidR="004811B2" w:rsidRDefault="001F6451">
      <w:pPr>
        <w:rPr>
          <w:rFonts w:ascii="仿宋" w:eastAsia="仿宋" w:hAnsi="仿宋"/>
        </w:rPr>
      </w:pPr>
      <w:r>
        <w:rPr>
          <w:rFonts w:ascii="仿宋" w:eastAsia="仿宋" w:hAnsi="仿宋" w:hint="eastAsia"/>
        </w:rPr>
        <w:t>2.机械与动力工程学院第二届研究生代表大会</w:t>
      </w:r>
    </w:p>
    <w:p w:rsidR="004811B2" w:rsidRDefault="001F6451">
      <w:pPr>
        <w:ind w:firstLineChars="200" w:firstLine="640"/>
        <w:rPr>
          <w:rFonts w:ascii="仿宋" w:eastAsia="仿宋" w:hAnsi="仿宋"/>
        </w:rPr>
      </w:pPr>
      <w:r>
        <w:rPr>
          <w:rFonts w:ascii="仿宋" w:eastAsia="仿宋" w:hAnsi="仿宋" w:hint="eastAsia"/>
        </w:rPr>
        <w:t>为了全面贯彻落</w:t>
      </w:r>
      <w:proofErr w:type="gramStart"/>
      <w:r>
        <w:rPr>
          <w:rFonts w:ascii="仿宋" w:eastAsia="仿宋" w:hAnsi="仿宋" w:hint="eastAsia"/>
        </w:rPr>
        <w:t>实习近</w:t>
      </w:r>
      <w:proofErr w:type="gramEnd"/>
      <w:r>
        <w:rPr>
          <w:rFonts w:ascii="仿宋" w:eastAsia="仿宋" w:hAnsi="仿宋" w:hint="eastAsia"/>
        </w:rPr>
        <w:t>平新时代中国特色社会主义思想与党的二十大精神，在机械与动力工程学院20、21、22级所有研究生的全力配合下，机械与动力工程学院第二次研究生代表大会，于2022年11月8日，</w:t>
      </w:r>
      <w:proofErr w:type="gramStart"/>
      <w:r>
        <w:rPr>
          <w:rFonts w:ascii="仿宋" w:eastAsia="仿宋" w:hAnsi="仿宋" w:hint="eastAsia"/>
        </w:rPr>
        <w:t>在瑞师楼</w:t>
      </w:r>
      <w:proofErr w:type="gramEnd"/>
      <w:r>
        <w:rPr>
          <w:rFonts w:ascii="仿宋" w:eastAsia="仿宋" w:hAnsi="仿宋" w:hint="eastAsia"/>
        </w:rPr>
        <w:t>226顺利召开。会议现场，工作人员严格按照《沈阳化工大学第四次研究生代表大会代表选举程序》检查票箱、分发和回收选票。同学们结合实际情况进行投票后，由工作人员进行现场记票。本次会议气氛热烈，投票程序合乎规范，会议全程公开公正，与会人员均认真庄重的投出了自己神圣的选票。研究生代表大会是我院研究生会各部</w:t>
      </w:r>
      <w:r w:rsidRPr="00545034">
        <w:rPr>
          <w:rFonts w:ascii="仿宋" w:eastAsia="仿宋" w:hAnsi="仿宋" w:hint="eastAsia"/>
        </w:rPr>
        <w:t>门与全体研究生</w:t>
      </w:r>
      <w:r w:rsidR="00187070" w:rsidRPr="00545034">
        <w:rPr>
          <w:rFonts w:ascii="仿宋" w:eastAsia="仿宋" w:hAnsi="仿宋" w:hint="eastAsia"/>
        </w:rPr>
        <w:t>建</w:t>
      </w:r>
      <w:r w:rsidRPr="00545034">
        <w:rPr>
          <w:rFonts w:ascii="仿宋" w:eastAsia="仿宋" w:hAnsi="仿宋" w:hint="eastAsia"/>
        </w:rPr>
        <w:t>立联系的一个重要的枢纽与桥梁。此次会议的成功召开不仅可以对</w:t>
      </w:r>
      <w:bookmarkStart w:id="1" w:name="_GoBack"/>
      <w:bookmarkEnd w:id="1"/>
      <w:r>
        <w:rPr>
          <w:rFonts w:ascii="仿宋" w:eastAsia="仿宋" w:hAnsi="仿宋" w:hint="eastAsia"/>
        </w:rPr>
        <w:t>我院研究生</w:t>
      </w:r>
      <w:proofErr w:type="gramStart"/>
      <w:r>
        <w:rPr>
          <w:rFonts w:ascii="仿宋" w:eastAsia="仿宋" w:hAnsi="仿宋" w:hint="eastAsia"/>
        </w:rPr>
        <w:t>会未来</w:t>
      </w:r>
      <w:proofErr w:type="gramEnd"/>
      <w:r>
        <w:rPr>
          <w:rFonts w:ascii="仿宋" w:eastAsia="仿宋" w:hAnsi="仿宋" w:hint="eastAsia"/>
        </w:rPr>
        <w:t>的工作起到积极的促进作用，而且充分调动了我院学生参加院内活动的积极性。为我院研究生会开展新工作、实现新作为奠定了坚实的基础。</w:t>
      </w:r>
    </w:p>
    <w:p w:rsidR="004811B2" w:rsidRDefault="004811B2">
      <w:pPr>
        <w:pStyle w:val="3"/>
        <w:rPr>
          <w:rFonts w:ascii="仿宋" w:eastAsia="仿宋" w:hAnsi="仿宋"/>
        </w:rPr>
      </w:pPr>
    </w:p>
    <w:p w:rsidR="004811B2" w:rsidRDefault="001F6451">
      <w:r>
        <w:rPr>
          <w:noProof/>
        </w:rPr>
        <w:lastRenderedPageBreak/>
        <w:drawing>
          <wp:inline distT="0" distB="0" distL="114300" distR="114300">
            <wp:extent cx="2465070" cy="1664970"/>
            <wp:effectExtent l="0" t="0" r="11430" b="11430"/>
            <wp:docPr id="1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9"/>
                    <pic:cNvPicPr>
                      <a:picLocks noChangeAspect="1"/>
                    </pic:cNvPicPr>
                  </pic:nvPicPr>
                  <pic:blipFill>
                    <a:blip r:embed="rId20"/>
                    <a:stretch>
                      <a:fillRect/>
                    </a:stretch>
                  </pic:blipFill>
                  <pic:spPr>
                    <a:xfrm>
                      <a:off x="0" y="0"/>
                      <a:ext cx="2465070" cy="1664970"/>
                    </a:xfrm>
                    <a:prstGeom prst="rect">
                      <a:avLst/>
                    </a:prstGeom>
                    <a:noFill/>
                    <a:ln>
                      <a:noFill/>
                    </a:ln>
                  </pic:spPr>
                </pic:pic>
              </a:graphicData>
            </a:graphic>
          </wp:inline>
        </w:drawing>
      </w:r>
      <w:r>
        <w:rPr>
          <w:noProof/>
        </w:rPr>
        <w:drawing>
          <wp:inline distT="0" distB="0" distL="114300" distR="114300">
            <wp:extent cx="2587625" cy="1663065"/>
            <wp:effectExtent l="0" t="0" r="3175" b="13335"/>
            <wp:docPr id="1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0"/>
                    <pic:cNvPicPr>
                      <a:picLocks noChangeAspect="1"/>
                    </pic:cNvPicPr>
                  </pic:nvPicPr>
                  <pic:blipFill>
                    <a:blip r:embed="rId21"/>
                    <a:stretch>
                      <a:fillRect/>
                    </a:stretch>
                  </pic:blipFill>
                  <pic:spPr>
                    <a:xfrm>
                      <a:off x="0" y="0"/>
                      <a:ext cx="2587625" cy="1663065"/>
                    </a:xfrm>
                    <a:prstGeom prst="rect">
                      <a:avLst/>
                    </a:prstGeom>
                    <a:noFill/>
                    <a:ln>
                      <a:noFill/>
                    </a:ln>
                  </pic:spPr>
                </pic:pic>
              </a:graphicData>
            </a:graphic>
          </wp:inline>
        </w:drawing>
      </w:r>
    </w:p>
    <w:p w:rsidR="004811B2" w:rsidRDefault="001F6451">
      <w:r>
        <w:rPr>
          <w:noProof/>
        </w:rPr>
        <w:drawing>
          <wp:inline distT="0" distB="0" distL="114300" distR="114300">
            <wp:extent cx="5098415" cy="2861945"/>
            <wp:effectExtent l="0" t="0" r="6985" b="14605"/>
            <wp:docPr id="1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21"/>
                    <pic:cNvPicPr>
                      <a:picLocks noChangeAspect="1"/>
                    </pic:cNvPicPr>
                  </pic:nvPicPr>
                  <pic:blipFill>
                    <a:blip r:embed="rId22"/>
                    <a:stretch>
                      <a:fillRect/>
                    </a:stretch>
                  </pic:blipFill>
                  <pic:spPr>
                    <a:xfrm>
                      <a:off x="0" y="0"/>
                      <a:ext cx="5098415" cy="2861945"/>
                    </a:xfrm>
                    <a:prstGeom prst="rect">
                      <a:avLst/>
                    </a:prstGeom>
                    <a:noFill/>
                    <a:ln>
                      <a:noFill/>
                    </a:ln>
                  </pic:spPr>
                </pic:pic>
              </a:graphicData>
            </a:graphic>
          </wp:inline>
        </w:drawing>
      </w:r>
    </w:p>
    <w:p w:rsidR="004811B2" w:rsidRDefault="001F6451">
      <w:pPr>
        <w:rPr>
          <w:rFonts w:ascii="仿宋" w:eastAsia="仿宋" w:hAnsi="仿宋"/>
        </w:rPr>
      </w:pPr>
      <w:r>
        <w:rPr>
          <w:rFonts w:ascii="仿宋" w:eastAsia="仿宋" w:hAnsi="仿宋" w:hint="eastAsia"/>
        </w:rPr>
        <w:t>3.学雷锋，树新风</w:t>
      </w:r>
    </w:p>
    <w:p w:rsidR="004811B2" w:rsidRDefault="001F6451">
      <w:pPr>
        <w:ind w:firstLineChars="200" w:firstLine="640"/>
        <w:rPr>
          <w:rFonts w:ascii="仿宋" w:eastAsia="仿宋" w:hAnsi="仿宋"/>
        </w:rPr>
      </w:pPr>
      <w:r>
        <w:rPr>
          <w:rFonts w:ascii="仿宋" w:eastAsia="仿宋" w:hAnsi="仿宋" w:hint="eastAsia"/>
        </w:rPr>
        <w:t>雷锋精神是中华民族的传统美德和共产主义光辉思想相结合的典范，鼓舞着一代又一代青年不断进步，努力奋斗，“学习雷锋好榜样”这句口号已经深深地为每一个中国人所熟知。为了使同学们更好的传承雷锋精神，提高同学们的思想道德情操，通过开展学雷锋树新风主题活动，引导同学们在以后的学习和生活中用实际行动去弘扬雷锋精神。同时，此次活动促进了同学们之间的团结互助，活动的成功举办是研究生会全体成员共同努力的结果。通过本次活动，引起了我们多方面的思考，在以后的学习和生活中，我们都应该向</w:t>
      </w:r>
      <w:r>
        <w:rPr>
          <w:rFonts w:ascii="仿宋" w:eastAsia="仿宋" w:hAnsi="仿宋" w:hint="eastAsia"/>
        </w:rPr>
        <w:lastRenderedPageBreak/>
        <w:t>雷锋同志学习，学会尽自己所能去帮助身边需要帮助的人，在学校里和同学们团结互助，遇事懂得谦让。雷锋精神深深地埋在了大家的心中，并不断引导着我们发扬雷锋高尚的风格，弘扬雷锋可贵的精神。</w:t>
      </w:r>
    </w:p>
    <w:p w:rsidR="004811B2" w:rsidRDefault="001F6451">
      <w:pPr>
        <w:jc w:val="center"/>
      </w:pPr>
      <w:r>
        <w:rPr>
          <w:noProof/>
        </w:rPr>
        <w:drawing>
          <wp:inline distT="0" distB="0" distL="114300" distR="114300">
            <wp:extent cx="3365500" cy="2526665"/>
            <wp:effectExtent l="0" t="0" r="6350" b="6985"/>
            <wp:docPr id="1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22"/>
                    <pic:cNvPicPr>
                      <a:picLocks noChangeAspect="1"/>
                    </pic:cNvPicPr>
                  </pic:nvPicPr>
                  <pic:blipFill>
                    <a:blip r:embed="rId23"/>
                    <a:stretch>
                      <a:fillRect/>
                    </a:stretch>
                  </pic:blipFill>
                  <pic:spPr>
                    <a:xfrm>
                      <a:off x="0" y="0"/>
                      <a:ext cx="3365500" cy="2526665"/>
                    </a:xfrm>
                    <a:prstGeom prst="rect">
                      <a:avLst/>
                    </a:prstGeom>
                    <a:noFill/>
                    <a:ln>
                      <a:noFill/>
                    </a:ln>
                  </pic:spPr>
                </pic:pic>
              </a:graphicData>
            </a:graphic>
          </wp:inline>
        </w:drawing>
      </w:r>
    </w:p>
    <w:p w:rsidR="004811B2" w:rsidRDefault="001F6451">
      <w:pPr>
        <w:rPr>
          <w:rFonts w:ascii="仿宋" w:eastAsia="仿宋" w:hAnsi="仿宋"/>
        </w:rPr>
      </w:pPr>
      <w:r>
        <w:rPr>
          <w:rFonts w:ascii="仿宋" w:eastAsia="仿宋" w:hAnsi="仿宋" w:hint="eastAsia"/>
        </w:rPr>
        <w:t>4.青春献礼二十大，砥砺奋进新征程----主席团学习会</w:t>
      </w:r>
    </w:p>
    <w:p w:rsidR="004811B2" w:rsidRDefault="001F6451">
      <w:pPr>
        <w:ind w:firstLineChars="200" w:firstLine="640"/>
        <w:rPr>
          <w:rFonts w:ascii="仿宋" w:eastAsia="仿宋" w:hAnsi="仿宋"/>
        </w:rPr>
      </w:pPr>
      <w:r>
        <w:rPr>
          <w:rFonts w:ascii="仿宋" w:eastAsia="仿宋" w:hAnsi="仿宋" w:hint="eastAsia"/>
        </w:rPr>
        <w:t>为全面贯彻落</w:t>
      </w:r>
      <w:proofErr w:type="gramStart"/>
      <w:r>
        <w:rPr>
          <w:rFonts w:ascii="仿宋" w:eastAsia="仿宋" w:hAnsi="仿宋" w:hint="eastAsia"/>
        </w:rPr>
        <w:t>实习近</w:t>
      </w:r>
      <w:proofErr w:type="gramEnd"/>
      <w:r>
        <w:rPr>
          <w:rFonts w:ascii="仿宋" w:eastAsia="仿宋" w:hAnsi="仿宋" w:hint="eastAsia"/>
        </w:rPr>
        <w:t>平新时代中国特色社会主义思想和党的二十大精神，全面贯彻习近平总书记关于青年工作的重要思想，团结带领全院青年坚定不移听党话、跟党走，机动学院有针对性的开展两次研究生学生会主席团成员学习交流会。通过本次会议增强了主席团成员之间的凝聚力，韩瑜老师的发言为机动学院的发展指明了方向，使我们受益匪浅。</w:t>
      </w:r>
    </w:p>
    <w:p w:rsidR="004811B2" w:rsidRDefault="001F6451">
      <w:r>
        <w:rPr>
          <w:noProof/>
        </w:rPr>
        <w:drawing>
          <wp:inline distT="0" distB="0" distL="114300" distR="114300">
            <wp:extent cx="2633980" cy="1293495"/>
            <wp:effectExtent l="0" t="0" r="13970" b="1905"/>
            <wp:docPr id="1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23"/>
                    <pic:cNvPicPr>
                      <a:picLocks noChangeAspect="1"/>
                    </pic:cNvPicPr>
                  </pic:nvPicPr>
                  <pic:blipFill>
                    <a:blip r:embed="rId24"/>
                    <a:stretch>
                      <a:fillRect/>
                    </a:stretch>
                  </pic:blipFill>
                  <pic:spPr>
                    <a:xfrm>
                      <a:off x="0" y="0"/>
                      <a:ext cx="2633980" cy="1293495"/>
                    </a:xfrm>
                    <a:prstGeom prst="rect">
                      <a:avLst/>
                    </a:prstGeom>
                    <a:noFill/>
                    <a:ln>
                      <a:noFill/>
                    </a:ln>
                  </pic:spPr>
                </pic:pic>
              </a:graphicData>
            </a:graphic>
          </wp:inline>
        </w:drawing>
      </w:r>
      <w:r>
        <w:rPr>
          <w:noProof/>
        </w:rPr>
        <w:drawing>
          <wp:inline distT="0" distB="0" distL="114300" distR="114300">
            <wp:extent cx="2519045" cy="1304290"/>
            <wp:effectExtent l="0" t="0" r="14605" b="10160"/>
            <wp:docPr id="18"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4"/>
                    <pic:cNvPicPr>
                      <a:picLocks noChangeAspect="1"/>
                    </pic:cNvPicPr>
                  </pic:nvPicPr>
                  <pic:blipFill>
                    <a:blip r:embed="rId25"/>
                    <a:stretch>
                      <a:fillRect/>
                    </a:stretch>
                  </pic:blipFill>
                  <pic:spPr>
                    <a:xfrm>
                      <a:off x="0" y="0"/>
                      <a:ext cx="2519045" cy="1304290"/>
                    </a:xfrm>
                    <a:prstGeom prst="rect">
                      <a:avLst/>
                    </a:prstGeom>
                    <a:noFill/>
                    <a:ln>
                      <a:noFill/>
                    </a:ln>
                  </pic:spPr>
                </pic:pic>
              </a:graphicData>
            </a:graphic>
          </wp:inline>
        </w:drawing>
      </w:r>
    </w:p>
    <w:p w:rsidR="004811B2" w:rsidRDefault="001F6451">
      <w:pPr>
        <w:rPr>
          <w:rFonts w:ascii="仿宋" w:eastAsia="仿宋" w:hAnsi="仿宋"/>
        </w:rPr>
      </w:pPr>
      <w:r>
        <w:rPr>
          <w:rFonts w:ascii="仿宋" w:eastAsia="仿宋" w:hAnsi="仿宋" w:hint="eastAsia"/>
        </w:rPr>
        <w:lastRenderedPageBreak/>
        <w:t>5.校园研究生跳绳比赛</w:t>
      </w:r>
    </w:p>
    <w:p w:rsidR="004811B2" w:rsidRDefault="001F6451">
      <w:pPr>
        <w:ind w:firstLineChars="200" w:firstLine="640"/>
        <w:rPr>
          <w:rFonts w:eastAsia="黑体"/>
        </w:rPr>
      </w:pPr>
      <w:r>
        <w:rPr>
          <w:rFonts w:ascii="仿宋" w:eastAsia="仿宋" w:hAnsi="仿宋" w:hint="eastAsia"/>
        </w:rPr>
        <w:t>为了丰富研究生的科研生活，提高研究生身体素质，增强团队精神和团体凝聚力，由团委协研究生会举办了“校园研究生跳绳比赛”。此次比赛共有多支队伍参加，比赛采用个人与团体的赛制，各个参赛队伍实力强劲，体现了研究生朝气蓬勃、积极阳光的精神风貌。在学院研究生会得组织下，机械与动力工程学院研究生再创佳绩，比赛过程中我院研究生顽强拼搏、迎难而上，展示出了强大的心理素质和坚实的团队凝聚力。一场场紧张激烈、扣人心弦的角逐，一声声观众的挥手呐喊，不断在操场上演。赛场上队员们的默契配合都是艰苦训练的结果，最终机动学院脱颖而出。球员们在赛场上肆意挥洒汗水，浇灌胜利的花朵，本次研究生跳绳比赛不仅仅是获得了荣誉，更是促进了各个学院的交流，体现了青年学生的青春活力！</w:t>
      </w:r>
    </w:p>
    <w:p w:rsidR="004811B2" w:rsidRDefault="001F6451">
      <w:r>
        <w:rPr>
          <w:noProof/>
        </w:rPr>
        <w:drawing>
          <wp:inline distT="0" distB="0" distL="114300" distR="114300">
            <wp:extent cx="2548255" cy="1981200"/>
            <wp:effectExtent l="0" t="0" r="4445" b="0"/>
            <wp:docPr id="19"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25"/>
                    <pic:cNvPicPr>
                      <a:picLocks noChangeAspect="1"/>
                    </pic:cNvPicPr>
                  </pic:nvPicPr>
                  <pic:blipFill>
                    <a:blip r:embed="rId26"/>
                    <a:stretch>
                      <a:fillRect/>
                    </a:stretch>
                  </pic:blipFill>
                  <pic:spPr>
                    <a:xfrm>
                      <a:off x="0" y="0"/>
                      <a:ext cx="2548255" cy="1981200"/>
                    </a:xfrm>
                    <a:prstGeom prst="rect">
                      <a:avLst/>
                    </a:prstGeom>
                    <a:noFill/>
                    <a:ln>
                      <a:noFill/>
                    </a:ln>
                  </pic:spPr>
                </pic:pic>
              </a:graphicData>
            </a:graphic>
          </wp:inline>
        </w:drawing>
      </w:r>
      <w:r>
        <w:rPr>
          <w:noProof/>
        </w:rPr>
        <w:drawing>
          <wp:inline distT="0" distB="0" distL="114300" distR="114300">
            <wp:extent cx="2503805" cy="1986915"/>
            <wp:effectExtent l="0" t="0" r="10795" b="13335"/>
            <wp:docPr id="20"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6"/>
                    <pic:cNvPicPr>
                      <a:picLocks noChangeAspect="1"/>
                    </pic:cNvPicPr>
                  </pic:nvPicPr>
                  <pic:blipFill>
                    <a:blip r:embed="rId27"/>
                    <a:stretch>
                      <a:fillRect/>
                    </a:stretch>
                  </pic:blipFill>
                  <pic:spPr>
                    <a:xfrm>
                      <a:off x="0" y="0"/>
                      <a:ext cx="2503805" cy="1986915"/>
                    </a:xfrm>
                    <a:prstGeom prst="rect">
                      <a:avLst/>
                    </a:prstGeom>
                    <a:noFill/>
                    <a:ln>
                      <a:noFill/>
                    </a:ln>
                  </pic:spPr>
                </pic:pic>
              </a:graphicData>
            </a:graphic>
          </wp:inline>
        </w:drawing>
      </w:r>
    </w:p>
    <w:p w:rsidR="004811B2" w:rsidRDefault="004811B2">
      <w:pPr>
        <w:pStyle w:val="3"/>
        <w:ind w:firstLineChars="0" w:firstLine="0"/>
      </w:pPr>
    </w:p>
    <w:p w:rsidR="004811B2" w:rsidRDefault="004811B2"/>
    <w:p w:rsidR="004811B2" w:rsidRDefault="001F6451">
      <w:pPr>
        <w:rPr>
          <w:rFonts w:ascii="仿宋" w:eastAsia="仿宋" w:hAnsi="仿宋"/>
        </w:rPr>
      </w:pPr>
      <w:r>
        <w:rPr>
          <w:rFonts w:ascii="仿宋" w:eastAsia="仿宋" w:hAnsi="仿宋" w:hint="eastAsia"/>
        </w:rPr>
        <w:lastRenderedPageBreak/>
        <w:t>6.喜迎二十大、永远跟党走、奋进新征程----22级经验分享交流会</w:t>
      </w:r>
    </w:p>
    <w:p w:rsidR="004811B2" w:rsidRDefault="001F6451">
      <w:pPr>
        <w:ind w:firstLineChars="200" w:firstLine="640"/>
        <w:rPr>
          <w:rFonts w:ascii="仿宋" w:eastAsia="仿宋" w:hAnsi="仿宋"/>
        </w:rPr>
      </w:pPr>
      <w:r>
        <w:rPr>
          <w:rFonts w:ascii="仿宋" w:eastAsia="仿宋" w:hAnsi="仿宋" w:hint="eastAsia"/>
        </w:rPr>
        <w:t>为了迎接二十大，增强当代研究生的学习能力，机动学院研究生会举办了“喜迎二十大，永远跟党走，奋进新征程”22级研究生经验分享交流会。大会主要分两个模块，一是深化学习贯彻习近平新时代中国特色社会主义思想，用党的创新理论武装全团、教育青年，二是讲解研究生学习相关的撰写论文方法、创新创业大赛以及如何学习英语六级的方法。本次大会以习近平新时代中国特色社会主义思想为指导，全面学习宣传贯彻党的二十大精神，做到“两个维护”，永远跟党走、奋进新征程，为全面建设社会主义现代化大都市、实现第二个百年奋斗目标、实现中华民族伟大复兴的中国梦凝聚起强大青春力量。同学们纷纷表示通过这次交流会，收获颇丰，受益匪浅，也为以后的研究生科研学习提供了宝贵的经验。</w:t>
      </w:r>
    </w:p>
    <w:p w:rsidR="004811B2" w:rsidRDefault="001F6451">
      <w:pPr>
        <w:rPr>
          <w:rFonts w:ascii="仿宋" w:eastAsia="仿宋" w:hAnsi="仿宋"/>
        </w:rPr>
      </w:pPr>
      <w:r>
        <w:rPr>
          <w:noProof/>
        </w:rPr>
        <w:drawing>
          <wp:inline distT="0" distB="0" distL="114300" distR="114300">
            <wp:extent cx="2622550" cy="2091055"/>
            <wp:effectExtent l="0" t="0" r="6350" b="4445"/>
            <wp:docPr id="21"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7"/>
                    <pic:cNvPicPr>
                      <a:picLocks noChangeAspect="1"/>
                    </pic:cNvPicPr>
                  </pic:nvPicPr>
                  <pic:blipFill>
                    <a:blip r:embed="rId28"/>
                    <a:stretch>
                      <a:fillRect/>
                    </a:stretch>
                  </pic:blipFill>
                  <pic:spPr>
                    <a:xfrm>
                      <a:off x="0" y="0"/>
                      <a:ext cx="2622550" cy="2091055"/>
                    </a:xfrm>
                    <a:prstGeom prst="rect">
                      <a:avLst/>
                    </a:prstGeom>
                    <a:noFill/>
                    <a:ln>
                      <a:noFill/>
                    </a:ln>
                  </pic:spPr>
                </pic:pic>
              </a:graphicData>
            </a:graphic>
          </wp:inline>
        </w:drawing>
      </w:r>
      <w:r>
        <w:rPr>
          <w:noProof/>
        </w:rPr>
        <w:drawing>
          <wp:inline distT="0" distB="0" distL="114300" distR="114300">
            <wp:extent cx="2591435" cy="2092325"/>
            <wp:effectExtent l="0" t="0" r="18415" b="3175"/>
            <wp:docPr id="22"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8"/>
                    <pic:cNvPicPr>
                      <a:picLocks noChangeAspect="1"/>
                    </pic:cNvPicPr>
                  </pic:nvPicPr>
                  <pic:blipFill>
                    <a:blip r:embed="rId29"/>
                    <a:stretch>
                      <a:fillRect/>
                    </a:stretch>
                  </pic:blipFill>
                  <pic:spPr>
                    <a:xfrm>
                      <a:off x="0" y="0"/>
                      <a:ext cx="2591435" cy="2092325"/>
                    </a:xfrm>
                    <a:prstGeom prst="rect">
                      <a:avLst/>
                    </a:prstGeom>
                    <a:noFill/>
                    <a:ln>
                      <a:noFill/>
                    </a:ln>
                  </pic:spPr>
                </pic:pic>
              </a:graphicData>
            </a:graphic>
          </wp:inline>
        </w:drawing>
      </w:r>
    </w:p>
    <w:p w:rsidR="004811B2" w:rsidRDefault="001F6451">
      <w:pPr>
        <w:rPr>
          <w:rFonts w:ascii="仿宋" w:eastAsia="仿宋" w:hAnsi="仿宋"/>
          <w:color w:val="FF0000"/>
          <w:highlight w:val="yellow"/>
        </w:rPr>
      </w:pPr>
      <w:r>
        <w:rPr>
          <w:noProof/>
        </w:rPr>
        <w:lastRenderedPageBreak/>
        <w:drawing>
          <wp:inline distT="0" distB="0" distL="114300" distR="114300">
            <wp:extent cx="2305050" cy="1569720"/>
            <wp:effectExtent l="0" t="0" r="0" b="11430"/>
            <wp:docPr id="23"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9"/>
                    <pic:cNvPicPr>
                      <a:picLocks noChangeAspect="1"/>
                    </pic:cNvPicPr>
                  </pic:nvPicPr>
                  <pic:blipFill>
                    <a:blip r:embed="rId30"/>
                    <a:stretch>
                      <a:fillRect/>
                    </a:stretch>
                  </pic:blipFill>
                  <pic:spPr>
                    <a:xfrm>
                      <a:off x="0" y="0"/>
                      <a:ext cx="2305050" cy="1569720"/>
                    </a:xfrm>
                    <a:prstGeom prst="rect">
                      <a:avLst/>
                    </a:prstGeom>
                    <a:noFill/>
                    <a:ln>
                      <a:noFill/>
                    </a:ln>
                  </pic:spPr>
                </pic:pic>
              </a:graphicData>
            </a:graphic>
          </wp:inline>
        </w:drawing>
      </w:r>
      <w:r>
        <w:rPr>
          <w:noProof/>
        </w:rPr>
        <w:drawing>
          <wp:inline distT="0" distB="0" distL="114300" distR="114300">
            <wp:extent cx="2925445" cy="1557020"/>
            <wp:effectExtent l="0" t="0" r="8255" b="5080"/>
            <wp:docPr id="24"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30"/>
                    <pic:cNvPicPr>
                      <a:picLocks noChangeAspect="1"/>
                    </pic:cNvPicPr>
                  </pic:nvPicPr>
                  <pic:blipFill>
                    <a:blip r:embed="rId31"/>
                    <a:stretch>
                      <a:fillRect/>
                    </a:stretch>
                  </pic:blipFill>
                  <pic:spPr>
                    <a:xfrm>
                      <a:off x="0" y="0"/>
                      <a:ext cx="2925445" cy="1557020"/>
                    </a:xfrm>
                    <a:prstGeom prst="rect">
                      <a:avLst/>
                    </a:prstGeom>
                    <a:noFill/>
                    <a:ln>
                      <a:noFill/>
                    </a:ln>
                  </pic:spPr>
                </pic:pic>
              </a:graphicData>
            </a:graphic>
          </wp:inline>
        </w:drawing>
      </w:r>
    </w:p>
    <w:p w:rsidR="004811B2" w:rsidRDefault="001F6451">
      <w:pPr>
        <w:pStyle w:val="3"/>
        <w:spacing w:line="560" w:lineRule="exact"/>
        <w:ind w:firstLine="643"/>
        <w:rPr>
          <w:rStyle w:val="NormalCharacter"/>
          <w:rFonts w:ascii="楷体" w:eastAsia="楷体" w:hAnsi="楷体" w:cs="方正仿宋简体"/>
          <w:b/>
          <w:color w:val="auto"/>
          <w:szCs w:val="32"/>
        </w:rPr>
      </w:pPr>
      <w:r>
        <w:rPr>
          <w:rStyle w:val="NormalCharacter"/>
          <w:rFonts w:ascii="楷体" w:eastAsia="楷体" w:hAnsi="楷体" w:cs="方正仿宋简体" w:hint="eastAsia"/>
          <w:b/>
          <w:color w:val="auto"/>
          <w:szCs w:val="32"/>
        </w:rPr>
        <w:t>（四）日常管理服务工作</w:t>
      </w:r>
    </w:p>
    <w:p w:rsidR="004811B2" w:rsidRDefault="001F6451">
      <w:pPr>
        <w:ind w:firstLineChars="200" w:firstLine="640"/>
        <w:rPr>
          <w:rFonts w:ascii="仿宋" w:eastAsia="仿宋" w:hAnsi="仿宋"/>
        </w:rPr>
      </w:pPr>
      <w:r>
        <w:rPr>
          <w:rFonts w:ascii="仿宋" w:eastAsia="仿宋" w:hAnsi="仿宋" w:hint="eastAsia"/>
        </w:rPr>
        <w:t>我院的研究生日常管理服务工作主要从以下几个方面展开：</w:t>
      </w:r>
    </w:p>
    <w:p w:rsidR="004811B2" w:rsidRDefault="001F6451">
      <w:pPr>
        <w:rPr>
          <w:rFonts w:ascii="仿宋" w:eastAsia="仿宋" w:hAnsi="仿宋"/>
        </w:rPr>
      </w:pPr>
      <w:r>
        <w:rPr>
          <w:rFonts w:ascii="仿宋" w:eastAsia="仿宋" w:hAnsi="仿宋" w:hint="eastAsia"/>
        </w:rPr>
        <w:t>1、思想政治教育管理工作:</w:t>
      </w:r>
    </w:p>
    <w:p w:rsidR="004811B2" w:rsidRDefault="001F6451">
      <w:pPr>
        <w:ind w:firstLineChars="200" w:firstLine="640"/>
        <w:rPr>
          <w:rFonts w:ascii="仿宋" w:eastAsia="仿宋" w:hAnsi="仿宋"/>
        </w:rPr>
      </w:pPr>
      <w:r>
        <w:rPr>
          <w:rFonts w:ascii="仿宋" w:eastAsia="仿宋" w:hAnsi="仿宋" w:hint="eastAsia"/>
        </w:rPr>
        <w:t>学院定期开展研究生思想政治理论学习，主题教育，掌握研究生思想状况，尤其加强对特殊群体研究生的重视(主要是家庭贫困、单亲、思想偏激、或有异常举动的学生)，并且定期的深入学生群体中了解学生思想状况。</w:t>
      </w:r>
    </w:p>
    <w:p w:rsidR="004811B2" w:rsidRDefault="001F6451">
      <w:pPr>
        <w:rPr>
          <w:rFonts w:ascii="仿宋" w:eastAsia="仿宋" w:hAnsi="仿宋"/>
        </w:rPr>
      </w:pPr>
      <w:r>
        <w:rPr>
          <w:rFonts w:ascii="仿宋" w:eastAsia="仿宋" w:hAnsi="仿宋" w:hint="eastAsia"/>
        </w:rPr>
        <w:t>2、研究生学生干部队伍建设工作</w:t>
      </w:r>
    </w:p>
    <w:p w:rsidR="004811B2" w:rsidRDefault="001F6451">
      <w:pPr>
        <w:ind w:firstLineChars="200" w:firstLine="640"/>
        <w:rPr>
          <w:rFonts w:ascii="仿宋" w:eastAsia="仿宋" w:hAnsi="仿宋"/>
        </w:rPr>
      </w:pPr>
      <w:r>
        <w:rPr>
          <w:rFonts w:ascii="仿宋" w:eastAsia="仿宋" w:hAnsi="仿宋" w:hint="eastAsia"/>
        </w:rPr>
        <w:t>做好研究生班级学生干部的选拔和配备工作，院系研究生会的学生干部管理与培养，做好班级学生干部与研究生会之间的联系、协调，及时了解学生干部的工作能力及工作作风建设情况。</w:t>
      </w:r>
    </w:p>
    <w:p w:rsidR="004811B2" w:rsidRDefault="001F6451">
      <w:pPr>
        <w:rPr>
          <w:rFonts w:ascii="仿宋" w:eastAsia="仿宋" w:hAnsi="仿宋"/>
        </w:rPr>
      </w:pPr>
      <w:r>
        <w:rPr>
          <w:rFonts w:ascii="仿宋" w:eastAsia="仿宋" w:hAnsi="仿宋" w:hint="eastAsia"/>
        </w:rPr>
        <w:t>3、研究生的安全稳定工作</w:t>
      </w:r>
    </w:p>
    <w:p w:rsidR="004811B2" w:rsidRDefault="001F6451">
      <w:pPr>
        <w:ind w:firstLineChars="200" w:firstLine="640"/>
        <w:rPr>
          <w:rFonts w:ascii="仿宋" w:eastAsia="仿宋" w:hAnsi="仿宋"/>
        </w:rPr>
      </w:pPr>
      <w:r>
        <w:rPr>
          <w:rFonts w:ascii="仿宋" w:eastAsia="仿宋" w:hAnsi="仿宋" w:hint="eastAsia"/>
        </w:rPr>
        <w:t>定期做好研究生安全教育工作，学生学期注册工作，学生的请、销假管理，及时了解本学院研究生日常生活中是否存在安全隐患，校外实习学生的安全教育，完善本学院的安全应急对策及方案。为加深推进诚信考试的重要性，要求同</w:t>
      </w:r>
      <w:r>
        <w:rPr>
          <w:rFonts w:ascii="仿宋" w:eastAsia="仿宋" w:hAnsi="仿宋" w:hint="eastAsia"/>
        </w:rPr>
        <w:lastRenderedPageBreak/>
        <w:t>学们端正考试态度，同时学习安全知识，掌握安全常识，提升安全防范意识，进一步的加强大家对一些安全知识的掌握和运用，普及安全知识，提高学生安全意识，打造安全和谐阳光校园，机械与动力工程学院研究生各班团支部在辅导员韩瑜老师的带领下，于2021年12月期间，组织开展有关“诚信考试，安全教育”主题班会，以便做好考试和寒假安全相关事宜。</w:t>
      </w:r>
    </w:p>
    <w:p w:rsidR="004811B2" w:rsidRDefault="001F6451">
      <w:r>
        <w:rPr>
          <w:noProof/>
        </w:rPr>
        <w:drawing>
          <wp:inline distT="0" distB="0" distL="114300" distR="114300">
            <wp:extent cx="2597785" cy="1951355"/>
            <wp:effectExtent l="0" t="0" r="12065" b="10795"/>
            <wp:docPr id="25"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31"/>
                    <pic:cNvPicPr>
                      <a:picLocks noChangeAspect="1"/>
                    </pic:cNvPicPr>
                  </pic:nvPicPr>
                  <pic:blipFill>
                    <a:blip r:embed="rId32"/>
                    <a:stretch>
                      <a:fillRect/>
                    </a:stretch>
                  </pic:blipFill>
                  <pic:spPr>
                    <a:xfrm>
                      <a:off x="0" y="0"/>
                      <a:ext cx="2597785" cy="1951355"/>
                    </a:xfrm>
                    <a:prstGeom prst="rect">
                      <a:avLst/>
                    </a:prstGeom>
                    <a:noFill/>
                    <a:ln>
                      <a:noFill/>
                    </a:ln>
                  </pic:spPr>
                </pic:pic>
              </a:graphicData>
            </a:graphic>
          </wp:inline>
        </w:drawing>
      </w:r>
      <w:r>
        <w:rPr>
          <w:noProof/>
        </w:rPr>
        <w:drawing>
          <wp:inline distT="0" distB="0" distL="114300" distR="114300">
            <wp:extent cx="2620010" cy="1965960"/>
            <wp:effectExtent l="0" t="0" r="8890" b="15240"/>
            <wp:docPr id="26"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32"/>
                    <pic:cNvPicPr>
                      <a:picLocks noChangeAspect="1"/>
                    </pic:cNvPicPr>
                  </pic:nvPicPr>
                  <pic:blipFill>
                    <a:blip r:embed="rId33"/>
                    <a:stretch>
                      <a:fillRect/>
                    </a:stretch>
                  </pic:blipFill>
                  <pic:spPr>
                    <a:xfrm>
                      <a:off x="0" y="0"/>
                      <a:ext cx="2620010" cy="1965960"/>
                    </a:xfrm>
                    <a:prstGeom prst="rect">
                      <a:avLst/>
                    </a:prstGeom>
                    <a:noFill/>
                    <a:ln>
                      <a:noFill/>
                    </a:ln>
                  </pic:spPr>
                </pic:pic>
              </a:graphicData>
            </a:graphic>
          </wp:inline>
        </w:drawing>
      </w:r>
    </w:p>
    <w:p w:rsidR="004811B2" w:rsidRDefault="001F6451">
      <w:r>
        <w:rPr>
          <w:noProof/>
        </w:rPr>
        <w:drawing>
          <wp:inline distT="0" distB="0" distL="114300" distR="114300">
            <wp:extent cx="2595880" cy="1988820"/>
            <wp:effectExtent l="0" t="0" r="13970" b="11430"/>
            <wp:docPr id="27"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33"/>
                    <pic:cNvPicPr>
                      <a:picLocks noChangeAspect="1"/>
                    </pic:cNvPicPr>
                  </pic:nvPicPr>
                  <pic:blipFill>
                    <a:blip r:embed="rId34"/>
                    <a:stretch>
                      <a:fillRect/>
                    </a:stretch>
                  </pic:blipFill>
                  <pic:spPr>
                    <a:xfrm>
                      <a:off x="0" y="0"/>
                      <a:ext cx="2595880" cy="1988820"/>
                    </a:xfrm>
                    <a:prstGeom prst="rect">
                      <a:avLst/>
                    </a:prstGeom>
                    <a:noFill/>
                    <a:ln>
                      <a:noFill/>
                    </a:ln>
                  </pic:spPr>
                </pic:pic>
              </a:graphicData>
            </a:graphic>
          </wp:inline>
        </w:drawing>
      </w:r>
      <w:r>
        <w:rPr>
          <w:noProof/>
        </w:rPr>
        <w:drawing>
          <wp:inline distT="0" distB="0" distL="114300" distR="114300">
            <wp:extent cx="2600325" cy="2013585"/>
            <wp:effectExtent l="0" t="0" r="9525" b="5715"/>
            <wp:docPr id="28"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34"/>
                    <pic:cNvPicPr>
                      <a:picLocks noChangeAspect="1"/>
                    </pic:cNvPicPr>
                  </pic:nvPicPr>
                  <pic:blipFill>
                    <a:blip r:embed="rId35"/>
                    <a:stretch>
                      <a:fillRect/>
                    </a:stretch>
                  </pic:blipFill>
                  <pic:spPr>
                    <a:xfrm>
                      <a:off x="0" y="0"/>
                      <a:ext cx="2600325" cy="2013585"/>
                    </a:xfrm>
                    <a:prstGeom prst="rect">
                      <a:avLst/>
                    </a:prstGeom>
                    <a:noFill/>
                    <a:ln>
                      <a:noFill/>
                    </a:ln>
                  </pic:spPr>
                </pic:pic>
              </a:graphicData>
            </a:graphic>
          </wp:inline>
        </w:drawing>
      </w:r>
    </w:p>
    <w:p w:rsidR="004811B2" w:rsidRDefault="001F6451">
      <w:pPr>
        <w:rPr>
          <w:rFonts w:ascii="仿宋" w:eastAsia="仿宋" w:hAnsi="仿宋"/>
        </w:rPr>
      </w:pPr>
      <w:r>
        <w:rPr>
          <w:rFonts w:ascii="仿宋" w:eastAsia="仿宋" w:hAnsi="仿宋" w:hint="eastAsia"/>
        </w:rPr>
        <w:t>4、迎新工作及就业工作</w:t>
      </w:r>
    </w:p>
    <w:p w:rsidR="004811B2" w:rsidRDefault="001F6451">
      <w:pPr>
        <w:ind w:firstLineChars="200" w:firstLine="640"/>
        <w:rPr>
          <w:rFonts w:ascii="仿宋" w:eastAsia="仿宋" w:hAnsi="仿宋"/>
        </w:rPr>
      </w:pPr>
      <w:r>
        <w:rPr>
          <w:rFonts w:ascii="仿宋" w:eastAsia="仿宋" w:hAnsi="仿宋" w:hint="eastAsia"/>
        </w:rPr>
        <w:t>入学报到包括入学手续办理、入学教育管理、新生体检、助学贷款办理等。研究生就业工作包括实时了解本学院研究生就业情况，就业率和就业质量，就业帮扶情况，存在的问</w:t>
      </w:r>
      <w:r>
        <w:rPr>
          <w:rFonts w:ascii="仿宋" w:eastAsia="仿宋" w:hAnsi="仿宋" w:hint="eastAsia"/>
        </w:rPr>
        <w:lastRenderedPageBreak/>
        <w:t>题及建议。</w:t>
      </w:r>
    </w:p>
    <w:p w:rsidR="004811B2" w:rsidRDefault="001F6451">
      <w:r>
        <w:rPr>
          <w:noProof/>
        </w:rPr>
        <w:drawing>
          <wp:inline distT="0" distB="0" distL="114300" distR="114300">
            <wp:extent cx="2589530" cy="1945005"/>
            <wp:effectExtent l="0" t="0" r="1270" b="17145"/>
            <wp:docPr id="29"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35"/>
                    <pic:cNvPicPr>
                      <a:picLocks noChangeAspect="1"/>
                    </pic:cNvPicPr>
                  </pic:nvPicPr>
                  <pic:blipFill>
                    <a:blip r:embed="rId36"/>
                    <a:stretch>
                      <a:fillRect/>
                    </a:stretch>
                  </pic:blipFill>
                  <pic:spPr>
                    <a:xfrm>
                      <a:off x="0" y="0"/>
                      <a:ext cx="2589530" cy="1945005"/>
                    </a:xfrm>
                    <a:prstGeom prst="rect">
                      <a:avLst/>
                    </a:prstGeom>
                    <a:noFill/>
                    <a:ln>
                      <a:noFill/>
                    </a:ln>
                  </pic:spPr>
                </pic:pic>
              </a:graphicData>
            </a:graphic>
          </wp:inline>
        </w:drawing>
      </w:r>
      <w:r>
        <w:rPr>
          <w:noProof/>
        </w:rPr>
        <w:drawing>
          <wp:inline distT="0" distB="0" distL="114300" distR="114300">
            <wp:extent cx="2563495" cy="1945005"/>
            <wp:effectExtent l="0" t="0" r="8255" b="17145"/>
            <wp:docPr id="30"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6"/>
                    <pic:cNvPicPr>
                      <a:picLocks noChangeAspect="1"/>
                    </pic:cNvPicPr>
                  </pic:nvPicPr>
                  <pic:blipFill>
                    <a:blip r:embed="rId37"/>
                    <a:stretch>
                      <a:fillRect/>
                    </a:stretch>
                  </pic:blipFill>
                  <pic:spPr>
                    <a:xfrm>
                      <a:off x="0" y="0"/>
                      <a:ext cx="2563495" cy="1945005"/>
                    </a:xfrm>
                    <a:prstGeom prst="rect">
                      <a:avLst/>
                    </a:prstGeom>
                    <a:noFill/>
                    <a:ln>
                      <a:noFill/>
                    </a:ln>
                  </pic:spPr>
                </pic:pic>
              </a:graphicData>
            </a:graphic>
          </wp:inline>
        </w:drawing>
      </w:r>
    </w:p>
    <w:p w:rsidR="004811B2" w:rsidRDefault="001F6451">
      <w:pPr>
        <w:rPr>
          <w:rFonts w:ascii="仿宋" w:eastAsia="仿宋" w:hAnsi="仿宋"/>
        </w:rPr>
      </w:pPr>
      <w:r>
        <w:rPr>
          <w:rFonts w:ascii="仿宋" w:eastAsia="仿宋" w:hAnsi="仿宋" w:hint="eastAsia"/>
        </w:rPr>
        <w:t>5、学术科技、文体活动的开展</w:t>
      </w:r>
    </w:p>
    <w:p w:rsidR="004811B2" w:rsidRDefault="001F6451">
      <w:pPr>
        <w:ind w:firstLineChars="200" w:firstLine="640"/>
        <w:rPr>
          <w:rFonts w:ascii="仿宋" w:eastAsia="仿宋" w:hAnsi="仿宋"/>
        </w:rPr>
      </w:pPr>
      <w:r>
        <w:rPr>
          <w:rFonts w:ascii="仿宋" w:eastAsia="仿宋" w:hAnsi="仿宋" w:hint="eastAsia"/>
        </w:rPr>
        <w:t>组织本学院研究生积极参与学校科技活动、“创新、前沿”学术论坛、学术交流年会等，及时了解、公布并奖励本学院研究生的科研成果及科技活动获奖情况;组织研究生参加各类文体活动。</w:t>
      </w:r>
    </w:p>
    <w:p w:rsidR="004811B2" w:rsidRDefault="001F6451">
      <w:pPr>
        <w:rPr>
          <w:rFonts w:ascii="仿宋" w:eastAsia="仿宋" w:hAnsi="仿宋"/>
        </w:rPr>
      </w:pPr>
      <w:r>
        <w:rPr>
          <w:rFonts w:ascii="仿宋" w:eastAsia="仿宋" w:hAnsi="仿宋" w:hint="eastAsia"/>
        </w:rPr>
        <w:t>6、研究生评先评优及违纪处分工作</w:t>
      </w:r>
    </w:p>
    <w:p w:rsidR="004811B2" w:rsidRDefault="001F6451">
      <w:pPr>
        <w:pStyle w:val="3"/>
        <w:spacing w:line="560" w:lineRule="exact"/>
        <w:rPr>
          <w:rStyle w:val="NormalCharacter"/>
          <w:rFonts w:ascii="黑体" w:eastAsia="黑体" w:hAnsi="黑体" w:cs="方正仿宋简体"/>
          <w:color w:val="auto"/>
          <w:szCs w:val="32"/>
        </w:rPr>
      </w:pPr>
      <w:r>
        <w:rPr>
          <w:rStyle w:val="NormalCharacter"/>
          <w:rFonts w:ascii="黑体" w:eastAsia="黑体" w:hAnsi="黑体" w:cs="方正仿宋简体" w:hint="eastAsia"/>
          <w:color w:val="auto"/>
          <w:szCs w:val="32"/>
        </w:rPr>
        <w:t>三、研究生培养相关制度及执行情况</w:t>
      </w:r>
    </w:p>
    <w:p w:rsidR="004811B2" w:rsidRDefault="001F6451">
      <w:pPr>
        <w:spacing w:line="560" w:lineRule="exact"/>
        <w:ind w:firstLineChars="200" w:firstLine="643"/>
        <w:rPr>
          <w:rStyle w:val="NormalCharacter"/>
          <w:rFonts w:ascii="楷体" w:eastAsia="楷体" w:hAnsi="楷体" w:cs="方正仿宋简体"/>
          <w:b/>
          <w:szCs w:val="32"/>
        </w:rPr>
      </w:pPr>
      <w:r>
        <w:rPr>
          <w:rStyle w:val="NormalCharacter"/>
          <w:rFonts w:ascii="楷体" w:eastAsia="楷体" w:hAnsi="楷体" w:cs="方正仿宋简体" w:hint="eastAsia"/>
          <w:b/>
          <w:szCs w:val="32"/>
        </w:rPr>
        <w:t>（一）课程建设与实施情况</w:t>
      </w:r>
    </w:p>
    <w:p w:rsidR="004811B2" w:rsidRDefault="001F6451">
      <w:pPr>
        <w:ind w:firstLineChars="200" w:firstLine="640"/>
        <w:rPr>
          <w:rFonts w:ascii="仿宋" w:eastAsia="仿宋" w:hAnsi="仿宋"/>
        </w:rPr>
      </w:pPr>
      <w:r>
        <w:rPr>
          <w:rFonts w:ascii="仿宋" w:eastAsia="仿宋" w:hAnsi="仿宋" w:hint="eastAsia"/>
        </w:rPr>
        <w:t>本年度，根据研究生总体要求以及学科人才培养需求，对两个学科的课程体系以及授课内容进行了修订。修订的出发点是在原有研究基础上，结合国家和行业近期发展特点，突出特色，强化特色。</w:t>
      </w:r>
    </w:p>
    <w:p w:rsidR="004811B2" w:rsidRDefault="001F6451">
      <w:pPr>
        <w:ind w:firstLineChars="200" w:firstLine="640"/>
        <w:rPr>
          <w:rFonts w:ascii="仿宋" w:eastAsia="仿宋" w:hAnsi="仿宋"/>
        </w:rPr>
      </w:pPr>
      <w:r>
        <w:rPr>
          <w:rFonts w:ascii="仿宋" w:eastAsia="仿宋" w:hAnsi="仿宋" w:hint="eastAsia"/>
        </w:rPr>
        <w:t>我院动力工程及工程热物理的学科优势是静态混合技术为代表的过程强化理论及其工程应用，为了进一步巩固、发展和提高该优势和特色，本次修订从流体角度由单相逐步扩展为两相流、多相流；从传递过程而言，由混合、传热强</w:t>
      </w:r>
      <w:r>
        <w:rPr>
          <w:rFonts w:ascii="仿宋" w:eastAsia="仿宋" w:hAnsi="仿宋" w:hint="eastAsia"/>
        </w:rPr>
        <w:lastRenderedPageBreak/>
        <w:t>化发展为传质、反应强化，为此，在新版培养方案的课程设置中新设了《多相流理论》、《传质学》等课程。</w:t>
      </w:r>
    </w:p>
    <w:p w:rsidR="004811B2" w:rsidRDefault="001F6451">
      <w:pPr>
        <w:ind w:firstLineChars="200" w:firstLine="640"/>
        <w:rPr>
          <w:rFonts w:ascii="仿宋" w:eastAsia="仿宋" w:hAnsi="仿宋"/>
        </w:rPr>
      </w:pPr>
      <w:r>
        <w:rPr>
          <w:rFonts w:ascii="仿宋" w:eastAsia="仿宋" w:hAnsi="仿宋" w:hint="eastAsia"/>
        </w:rPr>
        <w:t>我院机械工程的学科优势是机械动力学及其可靠性，原培养方案课程设置中没有体现对该优势的支撑作用，在新方案中设置了“机械设备故障诊断技术”“机械可靠性工程”等课程。此外，本学科经过整合的研究方向“金属材料性能及成型”也具有良好的发展潜力和前景，特别是在“高强度镁合金成型理论及应用”方面取得一些高水平研究成果，为此，在新版培养方案的课程设置中新设了《金属材料成型技术》、《金属电子显微分析》等课程。</w:t>
      </w:r>
    </w:p>
    <w:p w:rsidR="004811B2" w:rsidRDefault="001F6451">
      <w:pPr>
        <w:ind w:firstLineChars="200" w:firstLine="640"/>
        <w:rPr>
          <w:rFonts w:ascii="仿宋" w:eastAsia="仿宋" w:hAnsi="仿宋"/>
        </w:rPr>
      </w:pPr>
      <w:r>
        <w:rPr>
          <w:rFonts w:ascii="仿宋" w:eastAsia="仿宋" w:hAnsi="仿宋" w:hint="eastAsia"/>
        </w:rPr>
        <w:t>原有的学科核心课没有体现研究生课程的高阶性，在新版方案中提高了部分课程的深度和广度，比如在新版动力工程培养方案中，将核心课程设立为《高等热力学》、《高等传热学》、《高等流体力学》。</w:t>
      </w:r>
    </w:p>
    <w:p w:rsidR="004811B2" w:rsidRDefault="001F6451">
      <w:pPr>
        <w:spacing w:line="560" w:lineRule="exact"/>
        <w:ind w:firstLineChars="200" w:firstLine="643"/>
        <w:rPr>
          <w:rStyle w:val="NormalCharacter"/>
          <w:rFonts w:ascii="楷体" w:eastAsia="楷体" w:hAnsi="楷体" w:cs="方正仿宋简体"/>
          <w:b/>
          <w:szCs w:val="32"/>
        </w:rPr>
      </w:pPr>
      <w:r>
        <w:rPr>
          <w:rStyle w:val="NormalCharacter"/>
          <w:rFonts w:ascii="楷体" w:eastAsia="楷体" w:hAnsi="楷体" w:cs="方正仿宋简体" w:hint="eastAsia"/>
          <w:b/>
          <w:szCs w:val="32"/>
        </w:rPr>
        <w:t>（二）导师选拔培训</w:t>
      </w:r>
    </w:p>
    <w:p w:rsidR="004811B2" w:rsidRDefault="001F6451">
      <w:pPr>
        <w:ind w:firstLineChars="200" w:firstLine="640"/>
        <w:rPr>
          <w:rFonts w:ascii="仿宋" w:eastAsia="仿宋" w:hAnsi="仿宋"/>
        </w:rPr>
      </w:pPr>
      <w:r>
        <w:rPr>
          <w:rFonts w:ascii="仿宋" w:eastAsia="仿宋" w:hAnsi="仿宋" w:hint="eastAsia"/>
        </w:rPr>
        <w:t>为了提高研究生培养质量，降低研究生与导师的生师比，我院采取多项措施选拔研究生导师：</w:t>
      </w:r>
    </w:p>
    <w:p w:rsidR="004811B2" w:rsidRDefault="001F6451">
      <w:pPr>
        <w:ind w:firstLineChars="200" w:firstLine="640"/>
        <w:rPr>
          <w:rFonts w:ascii="仿宋" w:eastAsia="仿宋" w:hAnsi="仿宋"/>
        </w:rPr>
      </w:pPr>
      <w:r>
        <w:rPr>
          <w:rFonts w:ascii="仿宋" w:eastAsia="仿宋" w:hAnsi="仿宋" w:hint="eastAsia"/>
        </w:rPr>
        <w:t>一是在科研院所、其它高校遴选优秀教师担任我院研究生导师，</w:t>
      </w:r>
      <w:proofErr w:type="gramStart"/>
      <w:r>
        <w:rPr>
          <w:rFonts w:ascii="仿宋" w:eastAsia="仿宋" w:hAnsi="仿宋" w:hint="eastAsia"/>
        </w:rPr>
        <w:t>我院联培导师</w:t>
      </w:r>
      <w:proofErr w:type="gramEnd"/>
      <w:r>
        <w:rPr>
          <w:rFonts w:ascii="仿宋" w:eastAsia="仿宋" w:hAnsi="仿宋" w:hint="eastAsia"/>
        </w:rPr>
        <w:t>已达到32人；</w:t>
      </w:r>
    </w:p>
    <w:p w:rsidR="004811B2" w:rsidRDefault="001F6451">
      <w:pPr>
        <w:ind w:firstLineChars="200" w:firstLine="640"/>
        <w:rPr>
          <w:rFonts w:ascii="仿宋" w:eastAsia="仿宋" w:hAnsi="仿宋"/>
        </w:rPr>
      </w:pPr>
      <w:r>
        <w:rPr>
          <w:rFonts w:ascii="仿宋" w:eastAsia="仿宋" w:hAnsi="仿宋" w:hint="eastAsia"/>
        </w:rPr>
        <w:t>二是在校内聘任与我院学科研究内容相近的外学院或院所的优秀导师担任我院导师，目前已有5人，其中许光文校长也是我院导师；</w:t>
      </w:r>
    </w:p>
    <w:p w:rsidR="004811B2" w:rsidRDefault="001F6451">
      <w:pPr>
        <w:ind w:firstLineChars="200" w:firstLine="640"/>
        <w:rPr>
          <w:rFonts w:ascii="仿宋" w:eastAsia="仿宋" w:hAnsi="仿宋"/>
        </w:rPr>
      </w:pPr>
      <w:r>
        <w:rPr>
          <w:rFonts w:ascii="仿宋" w:eastAsia="仿宋" w:hAnsi="仿宋" w:hint="eastAsia"/>
        </w:rPr>
        <w:lastRenderedPageBreak/>
        <w:t>三是大力培养选拔我院优秀的青年教师担任导师，将青年教师纳入相应研究团队，解决研究经费不足的同时，由团队负责人对青年导师进行指导，确保研究生的培养质量，近三年已经培养选拔了14名青年导师。</w:t>
      </w:r>
    </w:p>
    <w:p w:rsidR="004811B2" w:rsidRDefault="001F6451">
      <w:pPr>
        <w:ind w:firstLineChars="200" w:firstLine="640"/>
        <w:rPr>
          <w:rFonts w:ascii="仿宋" w:eastAsia="仿宋" w:hAnsi="仿宋"/>
        </w:rPr>
      </w:pPr>
      <w:r>
        <w:rPr>
          <w:rFonts w:ascii="仿宋" w:eastAsia="仿宋" w:hAnsi="仿宋" w:hint="eastAsia"/>
        </w:rPr>
        <w:t>为适应新形势下研究生教育的发展，建设一支高质量、高水平的研究生导师队伍，我院采取多项举措对研究生导师进行培训，包括研究生导师科学道德和学术规范教育；新遴选研究生导师培训；研究生招生、培养、学位授予等管理工作规范教育；研究生培养教学模式创新、课程体系建设等教育教学工作探究交流；优秀研究生导师育人经验分享交流等。</w:t>
      </w:r>
    </w:p>
    <w:p w:rsidR="004811B2" w:rsidRDefault="001F6451">
      <w:pPr>
        <w:spacing w:line="560" w:lineRule="exact"/>
        <w:ind w:firstLineChars="200" w:firstLine="643"/>
        <w:rPr>
          <w:rStyle w:val="NormalCharacter"/>
          <w:rFonts w:ascii="楷体" w:eastAsia="楷体" w:hAnsi="楷体" w:cs="方正仿宋简体"/>
          <w:b/>
          <w:szCs w:val="32"/>
        </w:rPr>
      </w:pPr>
      <w:r>
        <w:rPr>
          <w:rStyle w:val="NormalCharacter"/>
          <w:rFonts w:ascii="楷体" w:eastAsia="楷体" w:hAnsi="楷体" w:cs="方正仿宋简体" w:hint="eastAsia"/>
          <w:b/>
          <w:szCs w:val="32"/>
        </w:rPr>
        <w:t>（三）师德师风建设情况</w:t>
      </w:r>
    </w:p>
    <w:p w:rsidR="004811B2" w:rsidRDefault="001F6451">
      <w:pPr>
        <w:pStyle w:val="3"/>
        <w:rPr>
          <w:rFonts w:ascii="仿宋" w:eastAsia="仿宋" w:hAnsi="仿宋"/>
          <w:color w:val="auto"/>
          <w:szCs w:val="24"/>
        </w:rPr>
      </w:pPr>
      <w:r>
        <w:rPr>
          <w:rFonts w:ascii="仿宋" w:eastAsia="仿宋" w:hAnsi="仿宋" w:hint="eastAsia"/>
          <w:color w:val="auto"/>
          <w:szCs w:val="24"/>
        </w:rPr>
        <w:t>学院将</w:t>
      </w:r>
      <w:proofErr w:type="gramStart"/>
      <w:r>
        <w:rPr>
          <w:rFonts w:ascii="仿宋" w:eastAsia="仿宋" w:hAnsi="仿宋" w:hint="eastAsia"/>
          <w:color w:val="auto"/>
          <w:szCs w:val="24"/>
        </w:rPr>
        <w:t>思政教育</w:t>
      </w:r>
      <w:proofErr w:type="gramEnd"/>
      <w:r>
        <w:rPr>
          <w:rFonts w:ascii="仿宋" w:eastAsia="仿宋" w:hAnsi="仿宋" w:hint="eastAsia"/>
          <w:color w:val="auto"/>
          <w:szCs w:val="24"/>
        </w:rPr>
        <w:t>导师责任制、以科研为主导的导师负责制和项目资助制有机结合，助推研究生导师师德师风建设取得新成效。</w:t>
      </w:r>
    </w:p>
    <w:p w:rsidR="004811B2" w:rsidRDefault="001F6451">
      <w:pPr>
        <w:pStyle w:val="3"/>
        <w:rPr>
          <w:rFonts w:ascii="仿宋" w:eastAsia="仿宋" w:hAnsi="仿宋"/>
          <w:color w:val="auto"/>
          <w:szCs w:val="24"/>
        </w:rPr>
      </w:pPr>
      <w:r>
        <w:rPr>
          <w:rFonts w:ascii="仿宋" w:eastAsia="仿宋" w:hAnsi="仿宋" w:hint="eastAsia"/>
          <w:color w:val="auto"/>
          <w:szCs w:val="24"/>
        </w:rPr>
        <w:t>健全制度。制定研究生导师招生资格认定办法、招生计划分配办法等制度，建立研究生导师“教书育人、管理育人、服务育人”先进评选机制，在研究生招收和指导方面实行学术道德、师德一票否决制。</w:t>
      </w:r>
    </w:p>
    <w:p w:rsidR="004811B2" w:rsidRDefault="001F6451">
      <w:pPr>
        <w:pStyle w:val="3"/>
        <w:rPr>
          <w:rFonts w:ascii="仿宋" w:eastAsia="仿宋" w:hAnsi="仿宋"/>
          <w:color w:val="auto"/>
          <w:szCs w:val="24"/>
        </w:rPr>
      </w:pPr>
      <w:r>
        <w:rPr>
          <w:rFonts w:ascii="仿宋" w:eastAsia="仿宋" w:hAnsi="仿宋" w:hint="eastAsia"/>
          <w:color w:val="auto"/>
          <w:szCs w:val="24"/>
        </w:rPr>
        <w:t>明确权责。强化导师学术自律和对研究生的督导责任,做好新任研究生导师学术道德与导师职责培训，定期开展导师岗位评估。将研究生中期筛选考核和学位论文抽检等结</w:t>
      </w:r>
      <w:r>
        <w:rPr>
          <w:rFonts w:ascii="仿宋" w:eastAsia="仿宋" w:hAnsi="仿宋" w:hint="eastAsia"/>
          <w:color w:val="auto"/>
          <w:szCs w:val="24"/>
        </w:rPr>
        <w:lastRenderedPageBreak/>
        <w:t>果，与导师招生资格确认、招生计划分配及其他评比活动紧密挂钩。</w:t>
      </w:r>
    </w:p>
    <w:p w:rsidR="004811B2" w:rsidRDefault="001F6451">
      <w:pPr>
        <w:pStyle w:val="3"/>
      </w:pPr>
      <w:r>
        <w:rPr>
          <w:rFonts w:ascii="仿宋" w:eastAsia="仿宋" w:hAnsi="仿宋" w:hint="eastAsia"/>
          <w:color w:val="auto"/>
          <w:szCs w:val="24"/>
        </w:rPr>
        <w:t>学生评价。充分发挥学生在师德师风建设中的促进作用，组织学生评议老师课程教学质量，通过学生自评自选的形式，从学术科研、德行品格等方面对导师进行评价。</w:t>
      </w:r>
    </w:p>
    <w:p w:rsidR="004811B2" w:rsidRDefault="001F6451">
      <w:pPr>
        <w:spacing w:line="560" w:lineRule="exact"/>
        <w:ind w:firstLineChars="200" w:firstLine="643"/>
        <w:rPr>
          <w:rStyle w:val="NormalCharacter"/>
          <w:rFonts w:ascii="楷体" w:eastAsia="楷体" w:hAnsi="楷体" w:cs="方正仿宋简体"/>
          <w:b/>
          <w:szCs w:val="32"/>
        </w:rPr>
      </w:pPr>
      <w:r>
        <w:rPr>
          <w:rStyle w:val="NormalCharacter"/>
          <w:rFonts w:ascii="楷体" w:eastAsia="楷体" w:hAnsi="楷体" w:cs="方正仿宋简体" w:hint="eastAsia"/>
          <w:b/>
          <w:szCs w:val="32"/>
        </w:rPr>
        <w:t>（四）学术训练情况</w:t>
      </w:r>
    </w:p>
    <w:p w:rsidR="004811B2" w:rsidRDefault="001F6451">
      <w:pPr>
        <w:pStyle w:val="3"/>
        <w:rPr>
          <w:rFonts w:ascii="仿宋" w:eastAsia="仿宋" w:hAnsi="仿宋"/>
          <w:color w:val="auto"/>
          <w:szCs w:val="24"/>
        </w:rPr>
      </w:pPr>
      <w:r>
        <w:rPr>
          <w:rFonts w:ascii="仿宋" w:eastAsia="仿宋" w:hAnsi="仿宋" w:hint="eastAsia"/>
          <w:color w:val="auto"/>
          <w:szCs w:val="24"/>
        </w:rPr>
        <w:t>探索并开展科教融合联合培养研究生模式，与中科院广州能源所、中科院北京过程所、中科院沈阳金属所等科研单位已经联合培养了24名研究生，联合培养为研究生提供了广阔的研究空间和科研平台，可以在真实的研究项目和生产实践过程中培养研究生的创新能力，对研究生质量培养起到了推动提升作用。</w:t>
      </w:r>
    </w:p>
    <w:p w:rsidR="004811B2" w:rsidRDefault="001F6451">
      <w:pPr>
        <w:pStyle w:val="3"/>
        <w:rPr>
          <w:rFonts w:ascii="仿宋" w:eastAsia="仿宋" w:hAnsi="仿宋"/>
          <w:color w:val="auto"/>
          <w:szCs w:val="24"/>
        </w:rPr>
      </w:pPr>
      <w:r>
        <w:rPr>
          <w:rFonts w:ascii="仿宋" w:eastAsia="仿宋" w:hAnsi="仿宋" w:hint="eastAsia"/>
          <w:color w:val="auto"/>
          <w:szCs w:val="24"/>
        </w:rPr>
        <w:t>学院鼓励专业学位研究生积极参与导师横向课题，并将实践内容与论文选题相结合，采取一生一聘双导师制，校外导师参与学生的专业实践、开题、论文指导、答辩等环节的全过程指导。2022年，我校研究生参与导师或校外导师横向科研项目人次数为100人次。</w:t>
      </w:r>
    </w:p>
    <w:p w:rsidR="004811B2" w:rsidRDefault="001F6451">
      <w:pPr>
        <w:pStyle w:val="3"/>
        <w:rPr>
          <w:rFonts w:ascii="仿宋" w:eastAsia="仿宋" w:hAnsi="仿宋"/>
          <w:color w:val="FF0000"/>
          <w:szCs w:val="24"/>
        </w:rPr>
      </w:pPr>
      <w:r>
        <w:rPr>
          <w:rFonts w:ascii="仿宋" w:eastAsia="仿宋" w:hAnsi="仿宋" w:hint="eastAsia"/>
          <w:color w:val="auto"/>
          <w:szCs w:val="24"/>
        </w:rPr>
        <w:t>支持研究生参加高水平学科竞赛和创新创业竞赛。我院研究生积极参加“中国研究生创新实践系列大赛”和其他学科类专业竞赛，努力提高自身的专业实践能力和学术水平。2022年研究生获省级以上学术科技竞赛奖项8项，获奖学生34人。</w:t>
      </w:r>
    </w:p>
    <w:p w:rsidR="004811B2" w:rsidRDefault="001F6451">
      <w:pPr>
        <w:spacing w:line="560" w:lineRule="exact"/>
        <w:ind w:firstLineChars="200" w:firstLine="643"/>
        <w:rPr>
          <w:rStyle w:val="NormalCharacter"/>
          <w:rFonts w:ascii="楷体" w:eastAsia="楷体" w:hAnsi="楷体" w:cs="方正仿宋简体"/>
          <w:b/>
          <w:szCs w:val="32"/>
        </w:rPr>
      </w:pPr>
      <w:r>
        <w:rPr>
          <w:rStyle w:val="NormalCharacter"/>
          <w:rFonts w:ascii="楷体" w:eastAsia="楷体" w:hAnsi="楷体" w:cs="方正仿宋简体" w:hint="eastAsia"/>
          <w:b/>
          <w:szCs w:val="32"/>
        </w:rPr>
        <w:t>（五）学术交流情况</w:t>
      </w:r>
    </w:p>
    <w:p w:rsidR="004811B2" w:rsidRDefault="001F6451">
      <w:pPr>
        <w:pStyle w:val="3"/>
        <w:spacing w:line="560" w:lineRule="exact"/>
        <w:rPr>
          <w:rFonts w:ascii="仿宋" w:eastAsia="仿宋" w:hAnsi="仿宋"/>
          <w:color w:val="auto"/>
          <w:szCs w:val="24"/>
        </w:rPr>
      </w:pPr>
      <w:r>
        <w:rPr>
          <w:rFonts w:ascii="仿宋" w:eastAsia="仿宋" w:hAnsi="仿宋" w:hint="eastAsia"/>
          <w:color w:val="auto"/>
          <w:szCs w:val="24"/>
        </w:rPr>
        <w:lastRenderedPageBreak/>
        <w:t>学院始终重视导师及研究生进行学术交流，鼓励教师承办学术会议，支持研究生参加学术会议。由于疫情原因，无法邀请国内外知名学者现场举办高端讲座，于是我院尽可能为研究生提供网上与学术领域一流学者直接交流的机会。通过网络学术报告的形式，开阔了研究生的视野，拓宽了知识，了解了国际学术界最前沿的科学问题和最新的研究进展。同时，在与学者的互动中，同学们也被他们的个人魅力所感动和打动，对科学研究有了更高的热情，对遵守学术规范有了更深刻的理解。2022年，我院共举行了3次网络学术报告。</w:t>
      </w:r>
    </w:p>
    <w:p w:rsidR="004811B2" w:rsidRDefault="001F6451">
      <w:pPr>
        <w:spacing w:line="560" w:lineRule="exact"/>
        <w:ind w:firstLineChars="200" w:firstLine="643"/>
        <w:rPr>
          <w:rStyle w:val="NormalCharacter"/>
          <w:rFonts w:ascii="楷体" w:eastAsia="楷体" w:hAnsi="楷体" w:cs="方正仿宋简体"/>
          <w:b/>
          <w:szCs w:val="32"/>
        </w:rPr>
      </w:pPr>
      <w:r>
        <w:rPr>
          <w:rStyle w:val="NormalCharacter"/>
          <w:rFonts w:ascii="楷体" w:eastAsia="楷体" w:hAnsi="楷体" w:cs="方正仿宋简体" w:hint="eastAsia"/>
          <w:b/>
          <w:szCs w:val="32"/>
        </w:rPr>
        <w:t>（六）研究生奖助情况</w:t>
      </w:r>
    </w:p>
    <w:p w:rsidR="004811B2" w:rsidRDefault="001F6451">
      <w:pPr>
        <w:pStyle w:val="3"/>
        <w:rPr>
          <w:rFonts w:ascii="仿宋" w:eastAsia="仿宋" w:hAnsi="仿宋"/>
          <w:color w:val="auto"/>
          <w:szCs w:val="24"/>
        </w:rPr>
      </w:pPr>
      <w:r>
        <w:rPr>
          <w:rFonts w:ascii="仿宋" w:eastAsia="仿宋" w:hAnsi="仿宋" w:hint="eastAsia"/>
          <w:color w:val="auto"/>
          <w:szCs w:val="24"/>
        </w:rPr>
        <w:t>学院积极完善研究生奖助体系建设，按照我校《研究生国家奖学金管理实施细则》、《研究生国家助学金管理实施细则》、《研究生学业奖学金管理实施细则》、《研究生“三助一辅”工作管理办法》等文件要求，建立起了包含国家奖学金、国家助学金、学业奖学金、“三助</w:t>
      </w:r>
      <w:proofErr w:type="gramStart"/>
      <w:r>
        <w:rPr>
          <w:rFonts w:ascii="仿宋" w:eastAsia="仿宋" w:hAnsi="仿宋" w:hint="eastAsia"/>
          <w:color w:val="auto"/>
          <w:szCs w:val="24"/>
        </w:rPr>
        <w:t>一</w:t>
      </w:r>
      <w:proofErr w:type="gramEnd"/>
      <w:r>
        <w:rPr>
          <w:rFonts w:ascii="仿宋" w:eastAsia="仿宋" w:hAnsi="仿宋" w:hint="eastAsia"/>
          <w:color w:val="auto"/>
          <w:szCs w:val="24"/>
        </w:rPr>
        <w:t>辅”岗位津贴在内的国家、学校多方资助结合的多元化研究生资助体系。</w:t>
      </w:r>
    </w:p>
    <w:p w:rsidR="004811B2" w:rsidRDefault="001F6451">
      <w:pPr>
        <w:pStyle w:val="3"/>
        <w:rPr>
          <w:rFonts w:ascii="仿宋" w:eastAsia="仿宋" w:hAnsi="仿宋"/>
          <w:color w:val="auto"/>
          <w:szCs w:val="24"/>
        </w:rPr>
      </w:pPr>
      <w:r>
        <w:rPr>
          <w:rFonts w:ascii="仿宋" w:eastAsia="仿宋" w:hAnsi="仿宋" w:hint="eastAsia"/>
          <w:color w:val="auto"/>
          <w:szCs w:val="24"/>
        </w:rPr>
        <w:t>本年度，我院共有6名研究生获得国家奖学金；238人获得学业奖学金，其中一等奖34人，二等奖68人，三等奖136人；126人获得入学奖学金。</w:t>
      </w:r>
    </w:p>
    <w:p w:rsidR="004811B2" w:rsidRDefault="001F6451">
      <w:pPr>
        <w:pStyle w:val="3"/>
        <w:rPr>
          <w:rFonts w:ascii="仿宋" w:eastAsia="仿宋" w:hAnsi="仿宋"/>
          <w:color w:val="auto"/>
          <w:szCs w:val="24"/>
        </w:rPr>
      </w:pPr>
      <w:r>
        <w:rPr>
          <w:rFonts w:ascii="仿宋" w:eastAsia="仿宋" w:hAnsi="仿宋" w:hint="eastAsia"/>
          <w:color w:val="auto"/>
          <w:szCs w:val="24"/>
        </w:rPr>
        <w:t>56人次获得各种荣誉称号，其中沈阳市优秀研究生2人，沈阳市优秀研究生干部1人，沈阳市优秀</w:t>
      </w:r>
      <w:proofErr w:type="gramStart"/>
      <w:r>
        <w:rPr>
          <w:rFonts w:ascii="仿宋" w:eastAsia="仿宋" w:hAnsi="仿宋" w:hint="eastAsia"/>
          <w:color w:val="auto"/>
          <w:szCs w:val="24"/>
        </w:rPr>
        <w:t>团学干部</w:t>
      </w:r>
      <w:proofErr w:type="gramEnd"/>
      <w:r>
        <w:rPr>
          <w:rFonts w:ascii="仿宋" w:eastAsia="仿宋" w:hAnsi="仿宋" w:hint="eastAsia"/>
          <w:color w:val="auto"/>
          <w:szCs w:val="24"/>
        </w:rPr>
        <w:t>1人，校优秀学生党员1人，校优秀研究生34人，校优秀研究生干部17人。</w:t>
      </w:r>
    </w:p>
    <w:p w:rsidR="004811B2" w:rsidRDefault="001F6451">
      <w:pPr>
        <w:pStyle w:val="3"/>
        <w:spacing w:line="560" w:lineRule="exact"/>
        <w:rPr>
          <w:rStyle w:val="NormalCharacter"/>
          <w:rFonts w:ascii="黑体" w:eastAsia="黑体" w:hAnsi="黑体" w:cs="方正仿宋简体"/>
          <w:color w:val="auto"/>
          <w:szCs w:val="32"/>
        </w:rPr>
      </w:pPr>
      <w:r>
        <w:rPr>
          <w:rStyle w:val="NormalCharacter"/>
          <w:rFonts w:ascii="黑体" w:eastAsia="黑体" w:hAnsi="黑体" w:cs="方正仿宋简体" w:hint="eastAsia"/>
          <w:color w:val="auto"/>
          <w:szCs w:val="32"/>
        </w:rPr>
        <w:lastRenderedPageBreak/>
        <w:t>四、研究生教育改革情况</w:t>
      </w:r>
    </w:p>
    <w:p w:rsidR="004811B2" w:rsidRDefault="001F6451">
      <w:pPr>
        <w:spacing w:line="560" w:lineRule="exact"/>
        <w:ind w:firstLineChars="200" w:firstLine="643"/>
        <w:rPr>
          <w:rStyle w:val="NormalCharacter"/>
          <w:rFonts w:ascii="楷体" w:eastAsia="楷体" w:hAnsi="楷体" w:cs="方正仿宋简体"/>
          <w:b/>
          <w:szCs w:val="32"/>
        </w:rPr>
      </w:pPr>
      <w:r>
        <w:rPr>
          <w:rStyle w:val="NormalCharacter"/>
          <w:rFonts w:ascii="楷体" w:eastAsia="楷体" w:hAnsi="楷体" w:cs="方正仿宋简体" w:hint="eastAsia"/>
          <w:b/>
          <w:szCs w:val="32"/>
        </w:rPr>
        <w:t>（一）人才培养</w:t>
      </w:r>
    </w:p>
    <w:p w:rsidR="004811B2" w:rsidRDefault="001F6451">
      <w:pPr>
        <w:pStyle w:val="3"/>
        <w:rPr>
          <w:rFonts w:ascii="仿宋" w:eastAsia="仿宋" w:hAnsi="仿宋"/>
          <w:color w:val="auto"/>
          <w:szCs w:val="24"/>
        </w:rPr>
      </w:pPr>
      <w:r>
        <w:rPr>
          <w:rFonts w:ascii="仿宋" w:eastAsia="仿宋" w:hAnsi="仿宋" w:hint="eastAsia"/>
          <w:color w:val="auto"/>
          <w:szCs w:val="24"/>
        </w:rPr>
        <w:t>1.提升人才培养质量，培养创新型、应用型人才。</w:t>
      </w:r>
    </w:p>
    <w:p w:rsidR="004811B2" w:rsidRDefault="001F6451">
      <w:pPr>
        <w:pStyle w:val="3"/>
        <w:rPr>
          <w:rFonts w:ascii="仿宋" w:eastAsia="仿宋" w:hAnsi="仿宋"/>
          <w:color w:val="auto"/>
          <w:szCs w:val="24"/>
        </w:rPr>
      </w:pPr>
      <w:r>
        <w:rPr>
          <w:rFonts w:ascii="仿宋" w:eastAsia="仿宋" w:hAnsi="仿宋" w:hint="eastAsia"/>
          <w:color w:val="auto"/>
          <w:szCs w:val="24"/>
        </w:rPr>
        <w:t>学院致力在优化科研团队、提升人才培养质量、</w:t>
      </w:r>
      <w:proofErr w:type="gramStart"/>
      <w:r>
        <w:rPr>
          <w:rFonts w:ascii="仿宋" w:eastAsia="仿宋" w:hAnsi="仿宋" w:hint="eastAsia"/>
          <w:color w:val="auto"/>
          <w:szCs w:val="24"/>
        </w:rPr>
        <w:t>增强科创能力</w:t>
      </w:r>
      <w:proofErr w:type="gramEnd"/>
      <w:r>
        <w:rPr>
          <w:rFonts w:ascii="仿宋" w:eastAsia="仿宋" w:hAnsi="仿宋" w:hint="eastAsia"/>
          <w:color w:val="auto"/>
          <w:szCs w:val="24"/>
        </w:rPr>
        <w:t>等方面上提升水平。与东北制药集团等大中型企业交流，建立互惠关系，为在校学生提供培训场地、导师指导。通过组织参加社会实践活动，促进在校研究生更新观念，吸收新的思想与知识，有效提高学生的综合素质和实践能力。</w:t>
      </w:r>
    </w:p>
    <w:p w:rsidR="004811B2" w:rsidRDefault="001F6451">
      <w:pPr>
        <w:pStyle w:val="3"/>
        <w:rPr>
          <w:rFonts w:ascii="仿宋" w:eastAsia="仿宋" w:hAnsi="仿宋"/>
          <w:color w:val="auto"/>
          <w:szCs w:val="24"/>
        </w:rPr>
      </w:pPr>
      <w:r>
        <w:rPr>
          <w:rFonts w:ascii="仿宋" w:eastAsia="仿宋" w:hAnsi="仿宋" w:hint="eastAsia"/>
          <w:color w:val="auto"/>
          <w:szCs w:val="24"/>
        </w:rPr>
        <w:t>2.深化科教协同、产教融合育人。</w:t>
      </w:r>
    </w:p>
    <w:p w:rsidR="004811B2" w:rsidRDefault="001F6451">
      <w:pPr>
        <w:pStyle w:val="3"/>
        <w:rPr>
          <w:rFonts w:ascii="仿宋" w:eastAsia="仿宋" w:hAnsi="仿宋"/>
          <w:color w:val="auto"/>
          <w:szCs w:val="24"/>
        </w:rPr>
      </w:pPr>
      <w:r>
        <w:rPr>
          <w:rFonts w:ascii="仿宋" w:eastAsia="仿宋" w:hAnsi="仿宋" w:hint="eastAsia"/>
          <w:color w:val="auto"/>
          <w:szCs w:val="24"/>
        </w:rPr>
        <w:t>学院鼓励和支持教师把科研成果转化为教学资源，依托科研项目开设研究性、创新性课程。建立以职业需求为导向的硕士专业学位研究生教育发展机制，加强专业学位专业实践管理，鼓励学生提高创新能力，积极参加与专业相关的各</w:t>
      </w:r>
      <w:proofErr w:type="gramStart"/>
      <w:r>
        <w:rPr>
          <w:rFonts w:ascii="仿宋" w:eastAsia="仿宋" w:hAnsi="仿宋" w:hint="eastAsia"/>
          <w:color w:val="auto"/>
          <w:szCs w:val="24"/>
        </w:rPr>
        <w:t>类创新</w:t>
      </w:r>
      <w:proofErr w:type="gramEnd"/>
      <w:r>
        <w:rPr>
          <w:rFonts w:ascii="仿宋" w:eastAsia="仿宋" w:hAnsi="仿宋" w:hint="eastAsia"/>
          <w:color w:val="auto"/>
          <w:szCs w:val="24"/>
        </w:rPr>
        <w:t>实践大赛，并将参赛成绩纳入专业实践考核范围。</w:t>
      </w:r>
    </w:p>
    <w:p w:rsidR="004811B2" w:rsidRDefault="001F6451">
      <w:pPr>
        <w:pStyle w:val="3"/>
        <w:rPr>
          <w:rFonts w:ascii="仿宋" w:eastAsia="仿宋" w:hAnsi="仿宋"/>
          <w:color w:val="auto"/>
          <w:szCs w:val="24"/>
        </w:rPr>
      </w:pPr>
      <w:r>
        <w:rPr>
          <w:rFonts w:ascii="仿宋" w:eastAsia="仿宋" w:hAnsi="仿宋" w:hint="eastAsia"/>
          <w:color w:val="auto"/>
          <w:szCs w:val="24"/>
        </w:rPr>
        <w:t>主动对接国家经济社会发展需求，积极与科研单位、兄弟院校建立联合培养研究生政策，全面实施双导师制，</w:t>
      </w:r>
      <w:proofErr w:type="gramStart"/>
      <w:r>
        <w:rPr>
          <w:rFonts w:ascii="仿宋" w:eastAsia="仿宋" w:hAnsi="仿宋" w:hint="eastAsia"/>
          <w:color w:val="auto"/>
          <w:szCs w:val="24"/>
        </w:rPr>
        <w:t>研一</w:t>
      </w:r>
      <w:proofErr w:type="gramEnd"/>
      <w:r>
        <w:rPr>
          <w:rFonts w:ascii="仿宋" w:eastAsia="仿宋" w:hAnsi="仿宋" w:hint="eastAsia"/>
          <w:color w:val="auto"/>
          <w:szCs w:val="24"/>
        </w:rPr>
        <w:t>在我校进行培养，</w:t>
      </w:r>
      <w:proofErr w:type="gramStart"/>
      <w:r>
        <w:rPr>
          <w:rFonts w:ascii="仿宋" w:eastAsia="仿宋" w:hAnsi="仿宋" w:hint="eastAsia"/>
          <w:color w:val="auto"/>
          <w:szCs w:val="24"/>
        </w:rPr>
        <w:t>研</w:t>
      </w:r>
      <w:proofErr w:type="gramEnd"/>
      <w:r>
        <w:rPr>
          <w:rFonts w:ascii="仿宋" w:eastAsia="仿宋" w:hAnsi="仿宋" w:hint="eastAsia"/>
          <w:color w:val="auto"/>
          <w:szCs w:val="24"/>
        </w:rPr>
        <w:t>二、</w:t>
      </w:r>
      <w:proofErr w:type="gramStart"/>
      <w:r>
        <w:rPr>
          <w:rFonts w:ascii="仿宋" w:eastAsia="仿宋" w:hAnsi="仿宋" w:hint="eastAsia"/>
          <w:color w:val="auto"/>
          <w:szCs w:val="24"/>
        </w:rPr>
        <w:t>研</w:t>
      </w:r>
      <w:proofErr w:type="gramEnd"/>
      <w:r>
        <w:rPr>
          <w:rFonts w:ascii="仿宋" w:eastAsia="仿宋" w:hAnsi="仿宋" w:hint="eastAsia"/>
          <w:color w:val="auto"/>
          <w:szCs w:val="24"/>
        </w:rPr>
        <w:t>三</w:t>
      </w:r>
      <w:proofErr w:type="gramStart"/>
      <w:r>
        <w:rPr>
          <w:rFonts w:ascii="仿宋" w:eastAsia="仿宋" w:hAnsi="仿宋" w:hint="eastAsia"/>
          <w:color w:val="auto"/>
          <w:szCs w:val="24"/>
        </w:rPr>
        <w:t>到联培单位</w:t>
      </w:r>
      <w:proofErr w:type="gramEnd"/>
      <w:r>
        <w:rPr>
          <w:rFonts w:ascii="仿宋" w:eastAsia="仿宋" w:hAnsi="仿宋" w:hint="eastAsia"/>
          <w:color w:val="auto"/>
          <w:szCs w:val="24"/>
        </w:rPr>
        <w:t>进行毕业课题研究，切实推动“科教协同、产教融合”。</w:t>
      </w:r>
    </w:p>
    <w:p w:rsidR="004811B2" w:rsidRDefault="001F6451">
      <w:pPr>
        <w:pStyle w:val="3"/>
        <w:rPr>
          <w:rFonts w:ascii="仿宋" w:eastAsia="仿宋" w:hAnsi="仿宋"/>
          <w:color w:val="auto"/>
          <w:szCs w:val="24"/>
        </w:rPr>
      </w:pPr>
      <w:r>
        <w:rPr>
          <w:rFonts w:ascii="仿宋" w:eastAsia="仿宋" w:hAnsi="仿宋" w:hint="eastAsia"/>
          <w:color w:val="auto"/>
          <w:szCs w:val="24"/>
        </w:rPr>
        <w:t>3.加强联合培养基地建设。</w:t>
      </w:r>
    </w:p>
    <w:p w:rsidR="004811B2" w:rsidRDefault="001F6451">
      <w:pPr>
        <w:pStyle w:val="3"/>
        <w:rPr>
          <w:rFonts w:ascii="仿宋" w:eastAsia="仿宋" w:hAnsi="仿宋"/>
          <w:color w:val="auto"/>
          <w:szCs w:val="24"/>
        </w:rPr>
      </w:pPr>
      <w:r>
        <w:rPr>
          <w:rFonts w:ascii="仿宋" w:eastAsia="仿宋" w:hAnsi="仿宋" w:hint="eastAsia"/>
          <w:color w:val="auto"/>
          <w:szCs w:val="24"/>
        </w:rPr>
        <w:t>学院根据学科布局，积极设立研究生联合培养基地及科研实践基地，实现各学科</w:t>
      </w:r>
      <w:proofErr w:type="gramStart"/>
      <w:r>
        <w:rPr>
          <w:rFonts w:ascii="仿宋" w:eastAsia="仿宋" w:hAnsi="仿宋" w:hint="eastAsia"/>
          <w:color w:val="auto"/>
          <w:szCs w:val="24"/>
        </w:rPr>
        <w:t>群全面</w:t>
      </w:r>
      <w:proofErr w:type="gramEnd"/>
      <w:r>
        <w:rPr>
          <w:rFonts w:ascii="仿宋" w:eastAsia="仿宋" w:hAnsi="仿宋" w:hint="eastAsia"/>
          <w:color w:val="auto"/>
          <w:szCs w:val="24"/>
        </w:rPr>
        <w:t>覆盖。现共建有2个省级基地，6个校级基地。学术学位研究生结合研究方向，根据科研需要进入基地进行科研实践，专业学位研究生要求全部进</w:t>
      </w:r>
      <w:r>
        <w:rPr>
          <w:rFonts w:ascii="仿宋" w:eastAsia="仿宋" w:hAnsi="仿宋" w:hint="eastAsia"/>
          <w:color w:val="auto"/>
          <w:szCs w:val="24"/>
        </w:rPr>
        <w:lastRenderedPageBreak/>
        <w:t>入基地进行专业实践，极大地提高研究生创新实践能力。</w:t>
      </w:r>
    </w:p>
    <w:p w:rsidR="004811B2" w:rsidRDefault="001F6451">
      <w:pPr>
        <w:pStyle w:val="3"/>
        <w:rPr>
          <w:rFonts w:ascii="仿宋" w:eastAsia="仿宋" w:hAnsi="仿宋"/>
          <w:color w:val="auto"/>
          <w:szCs w:val="24"/>
        </w:rPr>
      </w:pPr>
      <w:r>
        <w:rPr>
          <w:rFonts w:ascii="仿宋" w:eastAsia="仿宋" w:hAnsi="仿宋" w:hint="eastAsia"/>
          <w:color w:val="auto"/>
          <w:szCs w:val="24"/>
        </w:rPr>
        <w:t>4.持续推进教学改革研究。</w:t>
      </w:r>
    </w:p>
    <w:p w:rsidR="004811B2" w:rsidRDefault="001F6451">
      <w:pPr>
        <w:pStyle w:val="3"/>
        <w:rPr>
          <w:rFonts w:ascii="仿宋" w:eastAsia="仿宋" w:hAnsi="仿宋"/>
          <w:color w:val="auto"/>
          <w:szCs w:val="24"/>
        </w:rPr>
      </w:pPr>
      <w:r>
        <w:rPr>
          <w:rFonts w:ascii="仿宋" w:eastAsia="仿宋" w:hAnsi="仿宋" w:hint="eastAsia"/>
          <w:color w:val="auto"/>
          <w:szCs w:val="24"/>
        </w:rPr>
        <w:t>学院重视研究生教育教学改革研究，立足导师指导能力建设，支持研究生导师围绕研究生教育创新改革发展、教育教学研究和质量监督体系建设等领域开展研究，着力解决高层次创新人才培养中的重点和难点问题。</w:t>
      </w:r>
    </w:p>
    <w:p w:rsidR="004811B2" w:rsidRDefault="001F6451">
      <w:pPr>
        <w:spacing w:line="560" w:lineRule="exact"/>
        <w:ind w:firstLineChars="200" w:firstLine="643"/>
        <w:rPr>
          <w:rStyle w:val="NormalCharacter"/>
          <w:rFonts w:ascii="楷体" w:eastAsia="楷体" w:hAnsi="楷体" w:cs="方正仿宋简体"/>
          <w:b/>
          <w:szCs w:val="32"/>
        </w:rPr>
      </w:pPr>
      <w:r>
        <w:rPr>
          <w:rStyle w:val="NormalCharacter"/>
          <w:rFonts w:ascii="楷体" w:eastAsia="楷体" w:hAnsi="楷体" w:cs="方正仿宋简体" w:hint="eastAsia"/>
          <w:b/>
          <w:szCs w:val="32"/>
        </w:rPr>
        <w:t>（二）教师队伍建设</w:t>
      </w:r>
    </w:p>
    <w:p w:rsidR="004811B2" w:rsidRDefault="001F6451">
      <w:pPr>
        <w:pStyle w:val="3"/>
        <w:rPr>
          <w:rFonts w:ascii="仿宋" w:eastAsia="仿宋" w:hAnsi="仿宋"/>
          <w:color w:val="auto"/>
          <w:szCs w:val="24"/>
        </w:rPr>
      </w:pPr>
      <w:r>
        <w:rPr>
          <w:rFonts w:ascii="仿宋" w:eastAsia="仿宋" w:hAnsi="仿宋" w:hint="eastAsia"/>
          <w:color w:val="auto"/>
          <w:szCs w:val="24"/>
        </w:rPr>
        <w:t>1.搭建师德建设平台，提高教师素养。学校充分认识师德师风建设重要性和紧迫性，高度重视，将师德教育摆在教师培养首位，贯穿教师职业生涯全过程。</w:t>
      </w:r>
    </w:p>
    <w:p w:rsidR="004811B2" w:rsidRDefault="001F6451">
      <w:pPr>
        <w:pStyle w:val="3"/>
        <w:rPr>
          <w:rFonts w:ascii="仿宋" w:eastAsia="仿宋" w:hAnsi="仿宋"/>
          <w:color w:val="auto"/>
          <w:szCs w:val="24"/>
        </w:rPr>
      </w:pPr>
      <w:r>
        <w:rPr>
          <w:rFonts w:ascii="仿宋" w:eastAsia="仿宋" w:hAnsi="仿宋" w:hint="eastAsia"/>
          <w:color w:val="auto"/>
          <w:szCs w:val="24"/>
        </w:rPr>
        <w:t>2.搭建教师培训平台，提升教师专业化水平。学院定期组织举办教师培训活动，推荐鼓励青年教师到企业进行实现锻炼，提升解决工程实际问题的能力。</w:t>
      </w:r>
    </w:p>
    <w:p w:rsidR="004811B2" w:rsidRDefault="001F6451">
      <w:pPr>
        <w:pStyle w:val="3"/>
        <w:rPr>
          <w:rFonts w:ascii="仿宋" w:eastAsia="仿宋" w:hAnsi="仿宋"/>
          <w:color w:val="auto"/>
          <w:szCs w:val="24"/>
        </w:rPr>
      </w:pPr>
      <w:r>
        <w:rPr>
          <w:rFonts w:ascii="仿宋" w:eastAsia="仿宋" w:hAnsi="仿宋" w:hint="eastAsia"/>
          <w:color w:val="auto"/>
          <w:szCs w:val="24"/>
        </w:rPr>
        <w:t>3.建立健全教师管理制度，构建激励保障体系。学院不断完善激励机制，推优评先，发挥先锋模范的示范引领作用，激励教师担当作为，聚集正能量，激发队伍建设活力。学院设立了教学竞赛奖励、教研成果奖励、教材成果奖励、教研项目奖励、教学课程奖励、教研论文奖励、教学实践奖励等项目，每年划拨专项经费用于奖励，进一步调动教师开展好教学工作的积极性。</w:t>
      </w:r>
    </w:p>
    <w:p w:rsidR="004811B2" w:rsidRDefault="001F6451">
      <w:pPr>
        <w:pStyle w:val="3"/>
        <w:rPr>
          <w:rFonts w:ascii="仿宋" w:eastAsia="仿宋" w:hAnsi="仿宋"/>
          <w:color w:val="auto"/>
          <w:szCs w:val="24"/>
        </w:rPr>
      </w:pPr>
      <w:r>
        <w:rPr>
          <w:rFonts w:ascii="仿宋" w:eastAsia="仿宋" w:hAnsi="仿宋" w:hint="eastAsia"/>
          <w:color w:val="auto"/>
          <w:szCs w:val="24"/>
        </w:rPr>
        <w:t>4.鼓励支持具有较大科研发展潜力的教师牵头组建科员团队。学院在实验场地、研究经费、团队成员、人才引进</w:t>
      </w:r>
      <w:r>
        <w:rPr>
          <w:rFonts w:ascii="仿宋" w:eastAsia="仿宋" w:hAnsi="仿宋" w:hint="eastAsia"/>
          <w:color w:val="auto"/>
          <w:szCs w:val="24"/>
        </w:rPr>
        <w:lastRenderedPageBreak/>
        <w:t>等方面，发展前景广阔的团队给予支持，本年度特别资助了“高性能镁合金”研究团队，该团队今年获批了一项国家自然科学基金项目，1名研究生获得国家奖学金，1篇学位论文被评为校优秀学位论文。</w:t>
      </w:r>
    </w:p>
    <w:p w:rsidR="004811B2" w:rsidRDefault="001F6451">
      <w:pPr>
        <w:spacing w:line="560" w:lineRule="exact"/>
        <w:ind w:firstLineChars="200" w:firstLine="643"/>
        <w:rPr>
          <w:rStyle w:val="NormalCharacter"/>
          <w:rFonts w:ascii="楷体" w:eastAsia="楷体" w:hAnsi="楷体" w:cs="方正仿宋简体"/>
          <w:b/>
          <w:szCs w:val="32"/>
        </w:rPr>
      </w:pPr>
      <w:r>
        <w:rPr>
          <w:rStyle w:val="NormalCharacter"/>
          <w:rFonts w:ascii="楷体" w:eastAsia="楷体" w:hAnsi="楷体" w:cs="方正仿宋简体" w:hint="eastAsia"/>
          <w:b/>
          <w:szCs w:val="32"/>
        </w:rPr>
        <w:t>（三）科学研究</w:t>
      </w:r>
    </w:p>
    <w:p w:rsidR="004811B2" w:rsidRDefault="001F6451">
      <w:pPr>
        <w:pStyle w:val="3"/>
        <w:rPr>
          <w:rFonts w:ascii="仿宋" w:eastAsia="仿宋" w:hAnsi="仿宋"/>
          <w:color w:val="auto"/>
          <w:szCs w:val="24"/>
        </w:rPr>
      </w:pPr>
      <w:r>
        <w:rPr>
          <w:rFonts w:ascii="仿宋" w:eastAsia="仿宋" w:hAnsi="仿宋" w:hint="eastAsia"/>
          <w:color w:val="auto"/>
          <w:szCs w:val="24"/>
        </w:rPr>
        <w:t>学院鼓励、支持全院教师积极申报各类科研项目，安排科研工作突出或潜力巨大的骨干教师参与科技创新活动、做科研报告，对其他教师积极开展科研工作起到示范引领作用。</w:t>
      </w:r>
    </w:p>
    <w:p w:rsidR="004811B2" w:rsidRDefault="001F6451">
      <w:pPr>
        <w:pStyle w:val="3"/>
        <w:rPr>
          <w:rFonts w:ascii="仿宋" w:eastAsia="仿宋" w:hAnsi="仿宋"/>
          <w:color w:val="auto"/>
          <w:szCs w:val="24"/>
        </w:rPr>
      </w:pPr>
      <w:r>
        <w:rPr>
          <w:rFonts w:ascii="仿宋" w:eastAsia="仿宋" w:hAnsi="仿宋" w:hint="eastAsia"/>
          <w:color w:val="auto"/>
          <w:szCs w:val="24"/>
        </w:rPr>
        <w:t>本年度，我院共有16人申报了国家自然科学基金，其中获批了2项青年科学基金，虽然获</w:t>
      </w:r>
      <w:proofErr w:type="gramStart"/>
      <w:r>
        <w:rPr>
          <w:rFonts w:ascii="仿宋" w:eastAsia="仿宋" w:hAnsi="仿宋" w:hint="eastAsia"/>
          <w:color w:val="auto"/>
          <w:szCs w:val="24"/>
        </w:rPr>
        <w:t>批比例</w:t>
      </w:r>
      <w:proofErr w:type="gramEnd"/>
      <w:r>
        <w:rPr>
          <w:rFonts w:ascii="仿宋" w:eastAsia="仿宋" w:hAnsi="仿宋" w:hint="eastAsia"/>
          <w:color w:val="auto"/>
          <w:szCs w:val="24"/>
        </w:rPr>
        <w:t>偏低，但相对于我校</w:t>
      </w:r>
      <w:proofErr w:type="gramStart"/>
      <w:r>
        <w:rPr>
          <w:rFonts w:ascii="仿宋" w:eastAsia="仿宋" w:hAnsi="仿宋" w:hint="eastAsia"/>
          <w:color w:val="auto"/>
          <w:szCs w:val="24"/>
        </w:rPr>
        <w:t>整体获批情况</w:t>
      </w:r>
      <w:proofErr w:type="gramEnd"/>
      <w:r>
        <w:rPr>
          <w:rFonts w:ascii="仿宋" w:eastAsia="仿宋" w:hAnsi="仿宋" w:hint="eastAsia"/>
          <w:color w:val="auto"/>
          <w:szCs w:val="24"/>
        </w:rPr>
        <w:t>而言也算是做出了一份贡献。此外，本年度还获批了6项省部级纵向科研项目和14项技术研发横向项目。其中，纵向科研经费总额118万元，横向科研经费总额471.7万元，进款总额达到590.3万元，相比年初的预定目标还有一定差距，争取在本年度结束前的一个月时间有所突破。本年度我院发表高水平论文共计61篇，其中SCI收录论文18篇，EI收录论文9篇，中文核心论文34篇。</w:t>
      </w:r>
    </w:p>
    <w:p w:rsidR="004811B2" w:rsidRDefault="001F6451">
      <w:pPr>
        <w:spacing w:line="560" w:lineRule="exact"/>
        <w:ind w:firstLineChars="200" w:firstLine="643"/>
        <w:rPr>
          <w:rStyle w:val="NormalCharacter"/>
          <w:rFonts w:ascii="楷体" w:eastAsia="楷体" w:hAnsi="楷体" w:cs="方正仿宋简体"/>
          <w:b/>
          <w:szCs w:val="32"/>
        </w:rPr>
      </w:pPr>
      <w:r>
        <w:rPr>
          <w:rStyle w:val="NormalCharacter"/>
          <w:rFonts w:ascii="楷体" w:eastAsia="楷体" w:hAnsi="楷体" w:cs="方正仿宋简体" w:hint="eastAsia"/>
          <w:b/>
          <w:szCs w:val="32"/>
        </w:rPr>
        <w:t>（四）传承创新优秀文化</w:t>
      </w:r>
    </w:p>
    <w:p w:rsidR="004811B2" w:rsidRDefault="001F6451">
      <w:pPr>
        <w:pStyle w:val="3"/>
        <w:rPr>
          <w:rFonts w:ascii="仿宋" w:eastAsia="仿宋" w:hAnsi="仿宋"/>
          <w:color w:val="auto"/>
          <w:szCs w:val="24"/>
        </w:rPr>
      </w:pPr>
      <w:r>
        <w:rPr>
          <w:rFonts w:ascii="仿宋" w:eastAsia="仿宋" w:hAnsi="仿宋" w:hint="eastAsia"/>
          <w:color w:val="auto"/>
          <w:szCs w:val="24"/>
        </w:rPr>
        <w:t>学院始终重视优秀文化的传承与创新，鼓励教师与研究生在授课与课题研究过程中，能够将传统文化与研究内容、研究手段有机结合起来。比如，能源动力学科方向研究生，在研究混合元件三维建模过程中要用到3D打印技术，在学</w:t>
      </w:r>
      <w:r>
        <w:rPr>
          <w:rFonts w:ascii="仿宋" w:eastAsia="仿宋" w:hAnsi="仿宋" w:hint="eastAsia"/>
          <w:color w:val="auto"/>
          <w:szCs w:val="24"/>
        </w:rPr>
        <w:lastRenderedPageBreak/>
        <w:t>习过程中，为了增加同学们对优秀传统文化的认识、理解和传承，将3D打印对象设定为各种卯榫结构，通过对各卯榫零部件的打印制作及装配，了解我国古代建筑、木工艺术的伟大，同时也加深了对于3D打印技术的理解。</w:t>
      </w:r>
    </w:p>
    <w:p w:rsidR="004811B2" w:rsidRDefault="001F6451">
      <w:pPr>
        <w:spacing w:line="560" w:lineRule="exact"/>
        <w:ind w:firstLineChars="200" w:firstLine="643"/>
        <w:rPr>
          <w:rStyle w:val="NormalCharacter"/>
          <w:rFonts w:ascii="楷体" w:eastAsia="楷体" w:hAnsi="楷体" w:cs="方正仿宋简体"/>
          <w:b/>
          <w:szCs w:val="32"/>
        </w:rPr>
      </w:pPr>
      <w:r>
        <w:rPr>
          <w:rStyle w:val="NormalCharacter"/>
          <w:rFonts w:ascii="楷体" w:eastAsia="楷体" w:hAnsi="楷体" w:cs="方正仿宋简体" w:hint="eastAsia"/>
          <w:b/>
          <w:szCs w:val="32"/>
        </w:rPr>
        <w:t>（五）国际合作交流</w:t>
      </w:r>
    </w:p>
    <w:p w:rsidR="004811B2" w:rsidRDefault="001F6451">
      <w:pPr>
        <w:pStyle w:val="3"/>
        <w:rPr>
          <w:rFonts w:ascii="仿宋" w:eastAsia="仿宋" w:hAnsi="仿宋"/>
          <w:color w:val="auto"/>
          <w:szCs w:val="24"/>
        </w:rPr>
      </w:pPr>
      <w:r>
        <w:rPr>
          <w:rFonts w:ascii="仿宋" w:eastAsia="仿宋" w:hAnsi="仿宋" w:hint="eastAsia"/>
          <w:color w:val="auto"/>
          <w:szCs w:val="24"/>
        </w:rPr>
        <w:t>新冠疫情对高校的校际交流、师生国际流动造成了困难。我院开拓进取、积极探索、克服困难，努力推进国际交流与合作工作不断迈上新的台阶。2022年我院承办了一次国际会议,国外的专家学者以视频方式进行会议报告，我院有4名教师，18名研究生进行了会议报告。</w:t>
      </w:r>
    </w:p>
    <w:p w:rsidR="004811B2" w:rsidRDefault="001F6451">
      <w:pPr>
        <w:pStyle w:val="3"/>
        <w:rPr>
          <w:rFonts w:ascii="仿宋" w:eastAsia="仿宋" w:hAnsi="仿宋"/>
          <w:color w:val="auto"/>
          <w:szCs w:val="24"/>
        </w:rPr>
      </w:pPr>
      <w:r>
        <w:rPr>
          <w:rFonts w:ascii="仿宋" w:eastAsia="仿宋" w:hAnsi="仿宋" w:hint="eastAsia"/>
          <w:color w:val="auto"/>
          <w:szCs w:val="24"/>
        </w:rPr>
        <w:t>学院将持续引进国外优质教育资源，积极开展研究生层面的交流学习、联合培养、学分互认、学位</w:t>
      </w:r>
      <w:proofErr w:type="gramStart"/>
      <w:r>
        <w:rPr>
          <w:rFonts w:ascii="仿宋" w:eastAsia="仿宋" w:hAnsi="仿宋" w:hint="eastAsia"/>
          <w:color w:val="auto"/>
          <w:szCs w:val="24"/>
        </w:rPr>
        <w:t>互授联授</w:t>
      </w:r>
      <w:proofErr w:type="gramEnd"/>
      <w:r>
        <w:rPr>
          <w:rFonts w:ascii="仿宋" w:eastAsia="仿宋" w:hAnsi="仿宋" w:hint="eastAsia"/>
          <w:color w:val="auto"/>
          <w:szCs w:val="24"/>
        </w:rPr>
        <w:t>等工作，拟通过聘请高层次国外专家、学者来校任教和讲学，开展与境外高水平大学的教育教学合作，提高研究生人才培养的国际化水平。</w:t>
      </w:r>
    </w:p>
    <w:p w:rsidR="004811B2" w:rsidRDefault="001F6451">
      <w:pPr>
        <w:pStyle w:val="3"/>
        <w:spacing w:line="560" w:lineRule="exact"/>
        <w:rPr>
          <w:rStyle w:val="NormalCharacter"/>
          <w:rFonts w:ascii="黑体" w:eastAsia="黑体" w:hAnsi="黑体" w:cs="方正仿宋简体"/>
          <w:color w:val="auto"/>
          <w:szCs w:val="32"/>
        </w:rPr>
      </w:pPr>
      <w:r>
        <w:rPr>
          <w:rStyle w:val="NormalCharacter"/>
          <w:rFonts w:ascii="黑体" w:eastAsia="黑体" w:hAnsi="黑体" w:cs="方正仿宋简体" w:hint="eastAsia"/>
          <w:color w:val="auto"/>
          <w:szCs w:val="32"/>
        </w:rPr>
        <w:t>五、教育质量评估与分析</w:t>
      </w:r>
    </w:p>
    <w:p w:rsidR="004811B2" w:rsidRDefault="001F6451">
      <w:pPr>
        <w:spacing w:line="560" w:lineRule="exact"/>
        <w:ind w:firstLineChars="200" w:firstLine="643"/>
        <w:rPr>
          <w:rStyle w:val="NormalCharacter"/>
          <w:rFonts w:ascii="楷体" w:eastAsia="楷体" w:hAnsi="楷体" w:cs="方正仿宋简体"/>
          <w:b/>
          <w:szCs w:val="32"/>
        </w:rPr>
      </w:pPr>
      <w:r>
        <w:rPr>
          <w:rStyle w:val="NormalCharacter"/>
          <w:rFonts w:ascii="楷体" w:eastAsia="楷体" w:hAnsi="楷体" w:cs="方正仿宋简体" w:hint="eastAsia"/>
          <w:b/>
          <w:szCs w:val="32"/>
        </w:rPr>
        <w:t>（一）学科（领域）自我评估进展及问题分析</w:t>
      </w:r>
    </w:p>
    <w:p w:rsidR="007451C4" w:rsidRPr="007451C4" w:rsidRDefault="007451C4" w:rsidP="007451C4">
      <w:pPr>
        <w:spacing w:line="560" w:lineRule="exact"/>
        <w:ind w:firstLineChars="200" w:firstLine="640"/>
        <w:rPr>
          <w:rFonts w:ascii="仿宋" w:eastAsia="仿宋" w:hAnsi="仿宋"/>
        </w:rPr>
      </w:pPr>
      <w:r w:rsidRPr="007451C4">
        <w:rPr>
          <w:rFonts w:ascii="仿宋" w:eastAsia="仿宋" w:hAnsi="仿宋" w:hint="eastAsia"/>
        </w:rPr>
        <w:t>1.动力工程及工程热物理学科</w:t>
      </w:r>
    </w:p>
    <w:p w:rsidR="007451C4" w:rsidRPr="007451C4" w:rsidRDefault="007451C4" w:rsidP="007451C4">
      <w:pPr>
        <w:spacing w:line="560" w:lineRule="exact"/>
        <w:ind w:firstLineChars="200" w:firstLine="640"/>
        <w:rPr>
          <w:rFonts w:ascii="仿宋" w:eastAsia="仿宋" w:hAnsi="仿宋"/>
        </w:rPr>
      </w:pPr>
      <w:r w:rsidRPr="007451C4">
        <w:rPr>
          <w:rFonts w:ascii="仿宋" w:eastAsia="仿宋" w:hAnsi="仿宋" w:hint="eastAsia"/>
        </w:rPr>
        <w:t>在师资队伍方面，本年度引进3名青年教师，45岁以下专任教师达到</w:t>
      </w:r>
      <w:r>
        <w:rPr>
          <w:rFonts w:ascii="仿宋" w:eastAsia="仿宋" w:hAnsi="仿宋" w:hint="eastAsia"/>
        </w:rPr>
        <w:t>11</w:t>
      </w:r>
      <w:r w:rsidRPr="007451C4">
        <w:rPr>
          <w:rFonts w:ascii="仿宋" w:eastAsia="仿宋" w:hAnsi="仿宋" w:hint="eastAsia"/>
        </w:rPr>
        <w:t>名，年龄结构将更趋合理。在专职教师数量方面，本年度达到</w:t>
      </w:r>
      <w:r>
        <w:rPr>
          <w:rFonts w:ascii="仿宋" w:eastAsia="仿宋" w:hAnsi="仿宋" w:hint="eastAsia"/>
        </w:rPr>
        <w:t>28</w:t>
      </w:r>
      <w:r w:rsidRPr="007451C4">
        <w:rPr>
          <w:rFonts w:ascii="仿宋" w:eastAsia="仿宋" w:hAnsi="仿宋" w:hint="eastAsia"/>
        </w:rPr>
        <w:t>名，教师数量仍旧短缺，在教师数量方面还</w:t>
      </w:r>
      <w:proofErr w:type="gramStart"/>
      <w:r w:rsidRPr="007451C4">
        <w:rPr>
          <w:rFonts w:ascii="仿宋" w:eastAsia="仿宋" w:hAnsi="仿宋" w:hint="eastAsia"/>
        </w:rPr>
        <w:t>需上升</w:t>
      </w:r>
      <w:proofErr w:type="gramEnd"/>
      <w:r w:rsidRPr="007451C4">
        <w:rPr>
          <w:rFonts w:ascii="仿宋" w:eastAsia="仿宋" w:hAnsi="仿宋" w:hint="eastAsia"/>
        </w:rPr>
        <w:t>一个段位。</w:t>
      </w:r>
    </w:p>
    <w:p w:rsidR="007451C4" w:rsidRPr="007451C4" w:rsidRDefault="007451C4" w:rsidP="007451C4">
      <w:pPr>
        <w:spacing w:line="560" w:lineRule="exact"/>
        <w:ind w:firstLineChars="200" w:firstLine="640"/>
        <w:rPr>
          <w:rFonts w:ascii="仿宋" w:eastAsia="仿宋" w:hAnsi="仿宋"/>
        </w:rPr>
      </w:pPr>
      <w:r w:rsidRPr="007451C4">
        <w:rPr>
          <w:rFonts w:ascii="仿宋" w:eastAsia="仿宋" w:hAnsi="仿宋" w:hint="eastAsia"/>
        </w:rPr>
        <w:t>在生师比方面，本年度为</w:t>
      </w:r>
      <w:r>
        <w:rPr>
          <w:rFonts w:ascii="仿宋" w:eastAsia="仿宋" w:hAnsi="仿宋" w:hint="eastAsia"/>
        </w:rPr>
        <w:t>5:1</w:t>
      </w:r>
      <w:r w:rsidRPr="007451C4">
        <w:rPr>
          <w:rFonts w:ascii="仿宋" w:eastAsia="仿宋" w:hAnsi="仿宋" w:hint="eastAsia"/>
        </w:rPr>
        <w:t>，该数值与上一年度基本</w:t>
      </w:r>
      <w:r w:rsidRPr="007451C4">
        <w:rPr>
          <w:rFonts w:ascii="仿宋" w:eastAsia="仿宋" w:hAnsi="仿宋" w:hint="eastAsia"/>
        </w:rPr>
        <w:lastRenderedPageBreak/>
        <w:t>持平，仍高于同类高校的平均水平。每名导师所带研究生较多，导致研究生被指导的时间减少，影响了研究科研能力的培养和提升。为此，需要加快专任教师的引进速度，同时加大联合培养的规模，使生师比更趋合理。</w:t>
      </w:r>
    </w:p>
    <w:p w:rsidR="007451C4" w:rsidRPr="007451C4" w:rsidRDefault="007451C4" w:rsidP="007451C4">
      <w:pPr>
        <w:spacing w:line="560" w:lineRule="exact"/>
        <w:ind w:firstLineChars="200" w:firstLine="640"/>
        <w:rPr>
          <w:rFonts w:ascii="仿宋" w:eastAsia="仿宋" w:hAnsi="仿宋"/>
        </w:rPr>
      </w:pPr>
      <w:r w:rsidRPr="007451C4">
        <w:rPr>
          <w:rFonts w:ascii="仿宋" w:eastAsia="仿宋" w:hAnsi="仿宋" w:hint="eastAsia"/>
        </w:rPr>
        <w:t>在科研水平方面，本年度共有14项科研项目获得立项，进款总额410万元，与去年相比明显提升。本年度共有9项科研成果得到转化，获得了良好的经济和社会效益。本年度我院教师共发表高水平论文40篇，其中SCI收录论文10篇，EI收录论文6篇，中文核心论文22篇，与去年相比均有提升。申请及授权国家发明专利3项。存在的最大问题是国家级项目及高水平论文偏少，在一定程度上制约了学科的发展。</w:t>
      </w:r>
    </w:p>
    <w:p w:rsidR="007451C4" w:rsidRPr="007451C4" w:rsidRDefault="007451C4" w:rsidP="007451C4">
      <w:pPr>
        <w:spacing w:line="560" w:lineRule="exact"/>
        <w:ind w:firstLineChars="200" w:firstLine="640"/>
        <w:rPr>
          <w:rFonts w:ascii="仿宋" w:eastAsia="仿宋" w:hAnsi="仿宋"/>
        </w:rPr>
      </w:pPr>
      <w:r w:rsidRPr="007451C4">
        <w:rPr>
          <w:rFonts w:ascii="仿宋" w:eastAsia="仿宋" w:hAnsi="仿宋" w:hint="eastAsia"/>
        </w:rPr>
        <w:t>本学科在社会服务方面取得了较好成果，本年度完成了特种设备作业人员培训和考核达到8000人次，在提高学科社会影响力的同时，也培养了本学科教师的工程能力和水平。</w:t>
      </w:r>
    </w:p>
    <w:p w:rsidR="007451C4" w:rsidRPr="007451C4" w:rsidRDefault="007451C4" w:rsidP="007451C4">
      <w:pPr>
        <w:spacing w:line="560" w:lineRule="exact"/>
        <w:ind w:firstLineChars="200" w:firstLine="640"/>
        <w:rPr>
          <w:rFonts w:ascii="仿宋" w:eastAsia="仿宋" w:hAnsi="仿宋"/>
        </w:rPr>
      </w:pPr>
      <w:r w:rsidRPr="007451C4">
        <w:rPr>
          <w:rFonts w:ascii="仿宋" w:eastAsia="仿宋" w:hAnsi="仿宋" w:hint="eastAsia"/>
        </w:rPr>
        <w:t>2.机械工程学科</w:t>
      </w:r>
    </w:p>
    <w:p w:rsidR="007451C4" w:rsidRPr="007451C4" w:rsidRDefault="007451C4" w:rsidP="007451C4">
      <w:pPr>
        <w:spacing w:line="560" w:lineRule="exact"/>
        <w:ind w:firstLineChars="200" w:firstLine="640"/>
        <w:rPr>
          <w:rFonts w:ascii="仿宋" w:eastAsia="仿宋" w:hAnsi="仿宋"/>
        </w:rPr>
      </w:pPr>
      <w:r w:rsidRPr="007451C4">
        <w:rPr>
          <w:rFonts w:ascii="仿宋" w:eastAsia="仿宋" w:hAnsi="仿宋" w:hint="eastAsia"/>
        </w:rPr>
        <w:t>在师资队伍方面，本学科引进了2名专任教师，但总数仍旧太少，在职称结构方面，教授比例仍低于同类高校平均水平，青年教师比例为64%，高于同档次高校平均水平。现在本学科专任教师数量为39人，中高级职称专职教师偏少，职称结构不够合理。</w:t>
      </w:r>
    </w:p>
    <w:p w:rsidR="007451C4" w:rsidRPr="007451C4" w:rsidRDefault="007451C4" w:rsidP="007451C4">
      <w:pPr>
        <w:spacing w:line="560" w:lineRule="exact"/>
        <w:ind w:firstLineChars="200" w:firstLine="640"/>
        <w:rPr>
          <w:rFonts w:ascii="仿宋" w:eastAsia="仿宋" w:hAnsi="仿宋"/>
        </w:rPr>
      </w:pPr>
      <w:r w:rsidRPr="007451C4">
        <w:rPr>
          <w:rFonts w:ascii="仿宋" w:eastAsia="仿宋" w:hAnsi="仿宋" w:hint="eastAsia"/>
        </w:rPr>
        <w:t>在生师比方面，本年度为</w:t>
      </w:r>
      <w:r>
        <w:rPr>
          <w:rFonts w:ascii="仿宋" w:eastAsia="仿宋" w:hAnsi="仿宋" w:hint="eastAsia"/>
        </w:rPr>
        <w:t>8;1</w:t>
      </w:r>
      <w:r w:rsidRPr="007451C4">
        <w:rPr>
          <w:rFonts w:ascii="仿宋" w:eastAsia="仿宋" w:hAnsi="仿宋" w:hint="eastAsia"/>
        </w:rPr>
        <w:t>。</w:t>
      </w:r>
      <w:proofErr w:type="gramStart"/>
      <w:r w:rsidRPr="007451C4">
        <w:rPr>
          <w:rFonts w:ascii="仿宋" w:eastAsia="仿宋" w:hAnsi="仿宋" w:hint="eastAsia"/>
        </w:rPr>
        <w:t>学硕数量</w:t>
      </w:r>
      <w:proofErr w:type="gramEnd"/>
      <w:r w:rsidRPr="007451C4">
        <w:rPr>
          <w:rFonts w:ascii="仿宋" w:eastAsia="仿宋" w:hAnsi="仿宋" w:hint="eastAsia"/>
        </w:rPr>
        <w:t>变化不大但</w:t>
      </w:r>
      <w:proofErr w:type="gramStart"/>
      <w:r w:rsidRPr="007451C4">
        <w:rPr>
          <w:rFonts w:ascii="仿宋" w:eastAsia="仿宋" w:hAnsi="仿宋" w:hint="eastAsia"/>
        </w:rPr>
        <w:t>专硕数量</w:t>
      </w:r>
      <w:proofErr w:type="gramEnd"/>
      <w:r w:rsidRPr="007451C4">
        <w:rPr>
          <w:rFonts w:ascii="仿宋" w:eastAsia="仿宋" w:hAnsi="仿宋" w:hint="eastAsia"/>
        </w:rPr>
        <w:t>增加较多，生师比仍旧偏大，</w:t>
      </w:r>
    </w:p>
    <w:p w:rsidR="007451C4" w:rsidRPr="007451C4" w:rsidRDefault="007451C4" w:rsidP="007451C4">
      <w:pPr>
        <w:spacing w:line="560" w:lineRule="exact"/>
        <w:ind w:firstLineChars="200" w:firstLine="640"/>
        <w:rPr>
          <w:rFonts w:ascii="仿宋" w:eastAsia="仿宋" w:hAnsi="仿宋"/>
        </w:rPr>
      </w:pPr>
      <w:r w:rsidRPr="007451C4">
        <w:rPr>
          <w:rFonts w:ascii="仿宋" w:eastAsia="仿宋" w:hAnsi="仿宋" w:hint="eastAsia"/>
        </w:rPr>
        <w:lastRenderedPageBreak/>
        <w:t>在科研水平方面，本年度共有8项科研项目获得立项，进款总额180.3万元，与去年相比明显提升。本年度共有4项科研成果得到转化，获得了良好的经济和社会效益。本年度我院教师共发表高水平论文23篇，其中SCI收录论文7篇，EI收录论文3篇，中文核心论文13篇。本年度，获批了2项国家自然科学基金项目，均出自高性能镁合金研究团队。对于整个学科而言，存在发展不均衡，整体偏弱的情况。</w:t>
      </w:r>
    </w:p>
    <w:p w:rsidR="007451C4" w:rsidRDefault="007451C4" w:rsidP="007451C4">
      <w:pPr>
        <w:spacing w:line="560" w:lineRule="exact"/>
        <w:ind w:firstLineChars="200" w:firstLine="640"/>
        <w:rPr>
          <w:rFonts w:ascii="仿宋" w:eastAsia="仿宋" w:hAnsi="仿宋"/>
        </w:rPr>
      </w:pPr>
      <w:r w:rsidRPr="007451C4">
        <w:rPr>
          <w:rFonts w:ascii="仿宋" w:eastAsia="仿宋" w:hAnsi="仿宋" w:hint="eastAsia"/>
        </w:rPr>
        <w:t>在社会服务与学科声誉方面，本学科的整体水平偏弱，可将部分动力工程学科取得部分特种设备作业人员培训内容，比如焊接，机加等作为该学科的社会服务内容。</w:t>
      </w:r>
    </w:p>
    <w:p w:rsidR="004811B2" w:rsidRDefault="001F6451" w:rsidP="007451C4">
      <w:pPr>
        <w:spacing w:line="560" w:lineRule="exact"/>
        <w:ind w:firstLineChars="200" w:firstLine="643"/>
        <w:rPr>
          <w:rStyle w:val="NormalCharacter"/>
          <w:rFonts w:ascii="楷体" w:eastAsia="楷体" w:hAnsi="楷体" w:cs="方正仿宋简体"/>
          <w:b/>
          <w:szCs w:val="32"/>
        </w:rPr>
      </w:pPr>
      <w:r>
        <w:rPr>
          <w:rStyle w:val="NormalCharacter"/>
          <w:rFonts w:ascii="楷体" w:eastAsia="楷体" w:hAnsi="楷体" w:cs="方正仿宋简体" w:hint="eastAsia"/>
          <w:b/>
          <w:szCs w:val="32"/>
        </w:rPr>
        <w:t>（二）学位论文抽检情况及问题分析</w:t>
      </w:r>
    </w:p>
    <w:p w:rsidR="004811B2" w:rsidRDefault="001F6451">
      <w:pPr>
        <w:pStyle w:val="3"/>
        <w:rPr>
          <w:rFonts w:ascii="仿宋" w:eastAsia="仿宋" w:hAnsi="仿宋"/>
          <w:color w:val="auto"/>
          <w:szCs w:val="24"/>
        </w:rPr>
      </w:pPr>
      <w:r>
        <w:rPr>
          <w:rFonts w:ascii="仿宋" w:eastAsia="仿宋" w:hAnsi="仿宋" w:hint="eastAsia"/>
          <w:color w:val="auto"/>
          <w:szCs w:val="24"/>
        </w:rPr>
        <w:t>学位论文是研究生培养质量的重要载体，是衡量学校和学科水平的重要指标。为保障和监控研究生学位论文质量，我院严格施行了预答辩制度、不端行为检测制度、论文盲</w:t>
      </w:r>
      <w:proofErr w:type="gramStart"/>
      <w:r>
        <w:rPr>
          <w:rFonts w:ascii="仿宋" w:eastAsia="仿宋" w:hAnsi="仿宋" w:hint="eastAsia"/>
          <w:color w:val="auto"/>
          <w:szCs w:val="24"/>
        </w:rPr>
        <w:t>评制度</w:t>
      </w:r>
      <w:proofErr w:type="gramEnd"/>
      <w:r>
        <w:rPr>
          <w:rFonts w:ascii="仿宋" w:eastAsia="仿宋" w:hAnsi="仿宋" w:hint="eastAsia"/>
          <w:color w:val="auto"/>
          <w:szCs w:val="24"/>
        </w:rPr>
        <w:t>和严格的答辩规定，初步形成了学位论文质量保证体系。</w:t>
      </w:r>
    </w:p>
    <w:p w:rsidR="004811B2" w:rsidRDefault="001F6451">
      <w:pPr>
        <w:pStyle w:val="3"/>
        <w:rPr>
          <w:rFonts w:ascii="仿宋" w:eastAsia="仿宋" w:hAnsi="仿宋"/>
          <w:color w:val="auto"/>
          <w:szCs w:val="24"/>
        </w:rPr>
      </w:pPr>
      <w:r>
        <w:rPr>
          <w:rFonts w:ascii="仿宋" w:eastAsia="仿宋" w:hAnsi="仿宋" w:hint="eastAsia"/>
          <w:color w:val="auto"/>
          <w:szCs w:val="24"/>
        </w:rPr>
        <w:t>2022年度严格执行学位论文答辩资格审查与学位授予资格审查，全年共受理87名硕士学位人员学位论文答辩申请。学位论文校外</w:t>
      </w:r>
      <w:proofErr w:type="gramStart"/>
      <w:r>
        <w:rPr>
          <w:rFonts w:ascii="仿宋" w:eastAsia="仿宋" w:hAnsi="仿宋" w:hint="eastAsia"/>
          <w:color w:val="auto"/>
          <w:szCs w:val="24"/>
        </w:rPr>
        <w:t>送审率</w:t>
      </w:r>
      <w:proofErr w:type="gramEnd"/>
      <w:r>
        <w:rPr>
          <w:rFonts w:ascii="仿宋" w:eastAsia="仿宋" w:hAnsi="仿宋" w:hint="eastAsia"/>
          <w:color w:val="auto"/>
          <w:szCs w:val="24"/>
        </w:rPr>
        <w:t>实现100%，采取平台</w:t>
      </w:r>
      <w:proofErr w:type="gramStart"/>
      <w:r>
        <w:rPr>
          <w:rFonts w:ascii="仿宋" w:eastAsia="仿宋" w:hAnsi="仿宋" w:hint="eastAsia"/>
          <w:color w:val="auto"/>
          <w:szCs w:val="24"/>
        </w:rPr>
        <w:t>送审全委托</w:t>
      </w:r>
      <w:proofErr w:type="gramEnd"/>
      <w:r>
        <w:rPr>
          <w:rFonts w:ascii="仿宋" w:eastAsia="仿宋" w:hAnsi="仿宋" w:hint="eastAsia"/>
          <w:color w:val="auto"/>
          <w:szCs w:val="24"/>
        </w:rPr>
        <w:t>方式，完全实现学位论文第三方评价。严格执行学位论文检测、盲审、答辩环节，其中学位论文检测不合格0人，</w:t>
      </w:r>
      <w:proofErr w:type="gramStart"/>
      <w:r>
        <w:rPr>
          <w:rFonts w:ascii="仿宋" w:eastAsia="仿宋" w:hAnsi="仿宋" w:hint="eastAsia"/>
          <w:color w:val="auto"/>
          <w:szCs w:val="24"/>
        </w:rPr>
        <w:t>盲审环节</w:t>
      </w:r>
      <w:proofErr w:type="gramEnd"/>
      <w:r>
        <w:rPr>
          <w:rFonts w:ascii="仿宋" w:eastAsia="仿宋" w:hAnsi="仿宋" w:hint="eastAsia"/>
          <w:color w:val="auto"/>
          <w:szCs w:val="24"/>
        </w:rPr>
        <w:t>不合格者0人，答辩环节不合格者0人，对</w:t>
      </w:r>
      <w:proofErr w:type="gramStart"/>
      <w:r>
        <w:rPr>
          <w:rFonts w:ascii="仿宋" w:eastAsia="仿宋" w:hAnsi="仿宋" w:hint="eastAsia"/>
          <w:color w:val="auto"/>
          <w:szCs w:val="24"/>
        </w:rPr>
        <w:t>以上盲审不合格</w:t>
      </w:r>
      <w:proofErr w:type="gramEnd"/>
      <w:r>
        <w:rPr>
          <w:rFonts w:ascii="仿宋" w:eastAsia="仿宋" w:hAnsi="仿宋" w:hint="eastAsia"/>
          <w:color w:val="auto"/>
          <w:szCs w:val="24"/>
        </w:rPr>
        <w:t>研究生做出延期答辩处理。</w:t>
      </w:r>
    </w:p>
    <w:p w:rsidR="004811B2" w:rsidRDefault="001F6451">
      <w:pPr>
        <w:pStyle w:val="3"/>
        <w:rPr>
          <w:rFonts w:ascii="仿宋" w:eastAsia="仿宋" w:hAnsi="仿宋"/>
          <w:color w:val="auto"/>
          <w:szCs w:val="24"/>
        </w:rPr>
      </w:pPr>
      <w:r>
        <w:rPr>
          <w:rFonts w:ascii="仿宋" w:eastAsia="仿宋" w:hAnsi="仿宋" w:hint="eastAsia"/>
          <w:color w:val="auto"/>
          <w:szCs w:val="24"/>
        </w:rPr>
        <w:lastRenderedPageBreak/>
        <w:t>我院3篇学位论文被抽检，均为机械工程学术学位论文。总体评价结果为良好。</w:t>
      </w:r>
    </w:p>
    <w:p w:rsidR="004811B2" w:rsidRDefault="001F6451">
      <w:pPr>
        <w:pStyle w:val="3"/>
        <w:spacing w:line="560" w:lineRule="exact"/>
        <w:rPr>
          <w:rStyle w:val="NormalCharacter"/>
          <w:rFonts w:ascii="黑体" w:eastAsia="黑体" w:hAnsi="黑体" w:cs="方正仿宋简体"/>
          <w:color w:val="auto"/>
          <w:szCs w:val="32"/>
        </w:rPr>
      </w:pPr>
      <w:r>
        <w:rPr>
          <w:rStyle w:val="NormalCharacter"/>
          <w:rFonts w:ascii="黑体" w:eastAsia="黑体" w:hAnsi="黑体" w:cs="方正仿宋简体" w:hint="eastAsia"/>
          <w:color w:val="auto"/>
          <w:szCs w:val="32"/>
        </w:rPr>
        <w:t>六、改进措施</w:t>
      </w:r>
    </w:p>
    <w:p w:rsidR="004811B2" w:rsidRDefault="001F6451">
      <w:pPr>
        <w:widowControl/>
        <w:spacing w:line="560" w:lineRule="exact"/>
        <w:ind w:firstLineChars="200" w:firstLine="643"/>
        <w:textAlignment w:val="baseline"/>
        <w:rPr>
          <w:rStyle w:val="NormalCharacter"/>
          <w:rFonts w:ascii="楷体" w:eastAsia="楷体" w:hAnsi="楷体" w:cs="方正仿宋简体"/>
          <w:b/>
          <w:szCs w:val="32"/>
        </w:rPr>
      </w:pPr>
      <w:r>
        <w:rPr>
          <w:rStyle w:val="NormalCharacter"/>
          <w:rFonts w:ascii="楷体" w:eastAsia="楷体" w:hAnsi="楷体" w:cs="方正仿宋简体" w:hint="eastAsia"/>
          <w:b/>
          <w:szCs w:val="32"/>
        </w:rPr>
        <w:t>（一）针对问题提出改进建议</w:t>
      </w:r>
    </w:p>
    <w:p w:rsidR="004811B2" w:rsidRDefault="001F6451">
      <w:pPr>
        <w:pStyle w:val="3"/>
        <w:rPr>
          <w:rFonts w:ascii="仿宋" w:eastAsia="仿宋" w:hAnsi="仿宋"/>
          <w:color w:val="auto"/>
          <w:szCs w:val="24"/>
        </w:rPr>
      </w:pPr>
      <w:r>
        <w:rPr>
          <w:rFonts w:ascii="仿宋" w:eastAsia="仿宋" w:hAnsi="仿宋" w:hint="eastAsia"/>
          <w:color w:val="auto"/>
          <w:szCs w:val="24"/>
        </w:rPr>
        <w:t>总体来看，我院研究生培养层次还有待进一步提升、主动服务国家及区域经济社会发展还不够全面、学科与创新团队建设力度还有待加强、国际交流与合作培养尚显薄弱、培养模式还不能完全满足高水平创新能力和实践能力人才培养要求、质量与投入保障和评价机制还有待进一步完善，与学校建设“教学研究型”大学所要求的高水平研究生教育相比，尚存在着一定的差距。</w:t>
      </w:r>
    </w:p>
    <w:p w:rsidR="004811B2" w:rsidRDefault="001F6451">
      <w:pPr>
        <w:widowControl/>
        <w:spacing w:line="560" w:lineRule="exact"/>
        <w:ind w:firstLineChars="200" w:firstLine="643"/>
        <w:textAlignment w:val="baseline"/>
        <w:rPr>
          <w:rFonts w:ascii="楷体" w:eastAsia="楷体" w:hAnsi="楷体" w:cs="方正仿宋简体"/>
          <w:b/>
          <w:szCs w:val="32"/>
        </w:rPr>
      </w:pPr>
      <w:r>
        <w:rPr>
          <w:rStyle w:val="NormalCharacter"/>
          <w:rFonts w:ascii="楷体" w:eastAsia="楷体" w:hAnsi="楷体" w:cs="方正仿宋简体" w:hint="eastAsia"/>
          <w:b/>
          <w:szCs w:val="32"/>
        </w:rPr>
        <w:t>（二）下一步思路和举措</w:t>
      </w:r>
    </w:p>
    <w:p w:rsidR="004811B2" w:rsidRDefault="001F6451">
      <w:pPr>
        <w:pStyle w:val="3"/>
        <w:rPr>
          <w:rFonts w:ascii="仿宋" w:eastAsia="仿宋" w:hAnsi="仿宋"/>
          <w:color w:val="auto"/>
          <w:szCs w:val="24"/>
        </w:rPr>
      </w:pPr>
      <w:r>
        <w:rPr>
          <w:rFonts w:ascii="仿宋" w:eastAsia="仿宋" w:hAnsi="仿宋" w:hint="eastAsia"/>
          <w:color w:val="auto"/>
          <w:szCs w:val="24"/>
        </w:rPr>
        <w:t>（1）强化学科点自我评估功能。坚持质量导向，明确学科点建设目标，开展年度发展评价，基于学位授权点建设与发展数据和资料，形成发展变化过程分析评价，注重评价的诊断功能，发挥其在学科与专业学位类别结构调整优化等方面的作用，促进学科点建设目标的实现，提高主动服务区域社会发展需求的能力。</w:t>
      </w:r>
    </w:p>
    <w:p w:rsidR="004811B2" w:rsidRDefault="001F6451">
      <w:pPr>
        <w:pStyle w:val="3"/>
        <w:rPr>
          <w:rFonts w:ascii="仿宋" w:eastAsia="仿宋" w:hAnsi="仿宋"/>
          <w:color w:val="auto"/>
          <w:szCs w:val="24"/>
        </w:rPr>
      </w:pPr>
      <w:r>
        <w:rPr>
          <w:rFonts w:ascii="仿宋" w:eastAsia="仿宋" w:hAnsi="仿宋" w:hint="eastAsia"/>
          <w:color w:val="auto"/>
          <w:szCs w:val="24"/>
        </w:rPr>
        <w:t>（2）完善科教融合机制。完善我院与中科院各院所、兄弟院校</w:t>
      </w:r>
      <w:proofErr w:type="gramStart"/>
      <w:r>
        <w:rPr>
          <w:rFonts w:ascii="仿宋" w:eastAsia="仿宋" w:hAnsi="仿宋" w:hint="eastAsia"/>
          <w:color w:val="auto"/>
          <w:szCs w:val="24"/>
        </w:rPr>
        <w:t>研究生联培细则</w:t>
      </w:r>
      <w:proofErr w:type="gramEnd"/>
      <w:r>
        <w:rPr>
          <w:rFonts w:ascii="仿宋" w:eastAsia="仿宋" w:hAnsi="仿宋" w:hint="eastAsia"/>
          <w:color w:val="auto"/>
          <w:szCs w:val="24"/>
        </w:rPr>
        <w:t>，包括学生选拔、面试、导师学生互选、开题、答辩等，使学生入校后就</w:t>
      </w:r>
      <w:proofErr w:type="gramStart"/>
      <w:r>
        <w:rPr>
          <w:rFonts w:ascii="仿宋" w:eastAsia="仿宋" w:hAnsi="仿宋" w:hint="eastAsia"/>
          <w:color w:val="auto"/>
          <w:szCs w:val="24"/>
        </w:rPr>
        <w:t>确定联培导师</w:t>
      </w:r>
      <w:proofErr w:type="gramEnd"/>
      <w:r>
        <w:rPr>
          <w:rFonts w:ascii="仿宋" w:eastAsia="仿宋" w:hAnsi="仿宋" w:hint="eastAsia"/>
          <w:color w:val="auto"/>
          <w:szCs w:val="24"/>
        </w:rPr>
        <w:t>及研究课题；健全完善研究生培养与科研任务相结合的培养机制，实行弹性化培养管理；鼓励我院研究生跨学科、跨机构协同</w:t>
      </w:r>
      <w:r>
        <w:rPr>
          <w:rFonts w:ascii="仿宋" w:eastAsia="仿宋" w:hAnsi="仿宋" w:hint="eastAsia"/>
          <w:color w:val="auto"/>
          <w:szCs w:val="24"/>
        </w:rPr>
        <w:lastRenderedPageBreak/>
        <w:t>培养；支持研究生参加形式多样的高水平学术交流和研究生创新实践大赛。</w:t>
      </w:r>
    </w:p>
    <w:p w:rsidR="004811B2" w:rsidRDefault="001F6451">
      <w:pPr>
        <w:pStyle w:val="3"/>
        <w:rPr>
          <w:rFonts w:ascii="仿宋" w:eastAsia="仿宋" w:hAnsi="仿宋"/>
          <w:color w:val="auto"/>
          <w:szCs w:val="24"/>
        </w:rPr>
      </w:pPr>
      <w:r>
        <w:rPr>
          <w:rFonts w:ascii="仿宋" w:eastAsia="仿宋" w:hAnsi="仿宋" w:hint="eastAsia"/>
          <w:color w:val="auto"/>
          <w:szCs w:val="24"/>
        </w:rPr>
        <w:t>（3）加强课程教材建设，提升研究生课程教学质量。紧密结合经济社会发展需要，加强对研究生课程建设的长远和系统规划，完善课程设置、教学内容的审批机制，优化课程体系，加强教材建设，创新教学方式，改革考核办法，建立规范的课程准入与退出审查机制，突出创新能力培养，满足个性化发展需求。规范核心课程设置，打造精品示范课程，加大对研究生课程建设、教学改革的常态化投入，完善课程建设成果奖励政策，建设一批优质课程和教学案例库。编写遴选优秀教材，推动优质资源共享。加强教材建设，在研究生教学改革项目中培育建设5门以</w:t>
      </w:r>
      <w:proofErr w:type="gramStart"/>
      <w:r>
        <w:rPr>
          <w:rFonts w:ascii="仿宋" w:eastAsia="仿宋" w:hAnsi="仿宋" w:hint="eastAsia"/>
          <w:color w:val="auto"/>
          <w:szCs w:val="24"/>
        </w:rPr>
        <w:t>上校级特色</w:t>
      </w:r>
      <w:proofErr w:type="gramEnd"/>
      <w:r>
        <w:rPr>
          <w:rFonts w:ascii="仿宋" w:eastAsia="仿宋" w:hAnsi="仿宋" w:hint="eastAsia"/>
          <w:color w:val="auto"/>
          <w:szCs w:val="24"/>
        </w:rPr>
        <w:t>教材，争创省级优秀教材。完善考核评价机制，将课程教材质量作为学科发展水平、教师绩效考核和人才培养质量评价的重要内容。</w:t>
      </w:r>
    </w:p>
    <w:p w:rsidR="004811B2" w:rsidRDefault="001F6451">
      <w:pPr>
        <w:pStyle w:val="3"/>
        <w:rPr>
          <w:rFonts w:ascii="仿宋" w:eastAsia="仿宋" w:hAnsi="仿宋"/>
          <w:color w:val="auto"/>
          <w:szCs w:val="24"/>
        </w:rPr>
      </w:pPr>
      <w:r>
        <w:rPr>
          <w:rFonts w:ascii="仿宋" w:eastAsia="仿宋" w:hAnsi="仿宋" w:hint="eastAsia"/>
          <w:color w:val="auto"/>
          <w:szCs w:val="24"/>
        </w:rPr>
        <w:t>（4）健全研究生教育内部质量保证体系。完善质量控制和保证制度，抓住课程学习、实习实践、学位论文开题、中期考核、论文评阅和答辩、学位评定等关键环节，</w:t>
      </w:r>
      <w:proofErr w:type="gramStart"/>
      <w:r>
        <w:rPr>
          <w:rFonts w:ascii="仿宋" w:eastAsia="仿宋" w:hAnsi="仿宋" w:hint="eastAsia"/>
          <w:color w:val="auto"/>
          <w:szCs w:val="24"/>
        </w:rPr>
        <w:t>落实全</w:t>
      </w:r>
      <w:proofErr w:type="gramEnd"/>
      <w:r>
        <w:rPr>
          <w:rFonts w:ascii="仿宋" w:eastAsia="仿宋" w:hAnsi="仿宋" w:hint="eastAsia"/>
          <w:color w:val="auto"/>
          <w:szCs w:val="24"/>
        </w:rPr>
        <w:t>过程管理责任，细化强化导师、学位论文答辩委员会和学位</w:t>
      </w:r>
      <w:proofErr w:type="gramStart"/>
      <w:r>
        <w:rPr>
          <w:rFonts w:ascii="仿宋" w:eastAsia="仿宋" w:hAnsi="仿宋" w:hint="eastAsia"/>
          <w:color w:val="auto"/>
          <w:szCs w:val="24"/>
        </w:rPr>
        <w:t>评定分</w:t>
      </w:r>
      <w:proofErr w:type="gramEnd"/>
      <w:r>
        <w:rPr>
          <w:rFonts w:ascii="仿宋" w:eastAsia="仿宋" w:hAnsi="仿宋" w:hint="eastAsia"/>
          <w:color w:val="auto"/>
          <w:szCs w:val="24"/>
        </w:rPr>
        <w:t>委员会权责，杜绝学位“注水”。探索建立学位论文评阅意见公开等制度，合理制定与学位授予相关的科研成果要求，破除“唯论文”倾向。建立研究生教育质量自我评估制度，实施学位授权点年度发展性评价，积极主动参与学科</w:t>
      </w:r>
      <w:r>
        <w:rPr>
          <w:rFonts w:ascii="仿宋" w:eastAsia="仿宋" w:hAnsi="仿宋" w:hint="eastAsia"/>
          <w:color w:val="auto"/>
          <w:szCs w:val="24"/>
        </w:rPr>
        <w:lastRenderedPageBreak/>
        <w:t>国内评估。</w:t>
      </w:r>
    </w:p>
    <w:sectPr w:rsidR="004811B2">
      <w:footerReference w:type="default" r:id="rId38"/>
      <w:pgSz w:w="11906" w:h="16838"/>
      <w:pgMar w:top="1440" w:right="1800" w:bottom="1440" w:left="1800" w:header="851" w:footer="992" w:gutter="0"/>
      <w:pgNumType w:fmt="numberInDash" w:start="1"/>
      <w:cols w:space="720"/>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66C3C" w:rsidRDefault="00466C3C">
      <w:r>
        <w:separator/>
      </w:r>
    </w:p>
  </w:endnote>
  <w:endnote w:type="continuationSeparator" w:id="0">
    <w:p w:rsidR="00466C3C" w:rsidRDefault="00466C3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方正仿宋简体">
    <w:altName w:val="微软雅黑"/>
    <w:charset w:val="86"/>
    <w:family w:val="script"/>
    <w:pitch w:val="default"/>
    <w:sig w:usb0="00000000" w:usb1="00000000" w:usb2="00000012" w:usb3="00000000" w:csb0="00040001" w:csb1="00000000"/>
  </w:font>
  <w:font w:name="黑体">
    <w:altName w:val="SimHei"/>
    <w:panose1 w:val="02010609060101010101"/>
    <w:charset w:val="86"/>
    <w:family w:val="modern"/>
    <w:pitch w:val="fixed"/>
    <w:sig w:usb0="800002BF" w:usb1="38CF7CFA" w:usb2="00000016" w:usb3="00000000" w:csb0="00040001" w:csb1="00000000"/>
  </w:font>
  <w:font w:name="楷体">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2FF" w:usb1="400004FF" w:usb2="00000000" w:usb3="00000000" w:csb0="0000019F" w:csb1="00000000"/>
  </w:font>
  <w:font w:name="等线">
    <w:panose1 w:val="00000000000000000000"/>
    <w:charset w:val="86"/>
    <w:family w:val="roman"/>
    <w:notTrueType/>
    <w:pitch w:val="default"/>
  </w:font>
  <w:font w:name="方正小标宋简体">
    <w:altName w:val="Arial Unicode MS"/>
    <w:charset w:val="86"/>
    <w:family w:val="script"/>
    <w:pitch w:val="default"/>
    <w:sig w:usb0="00000000" w:usb1="00000000" w:usb2="00000010" w:usb3="00000000" w:csb0="00040000" w:csb1="00000000"/>
  </w:font>
  <w:font w:name="楷体_GB2312">
    <w:altName w:val="楷体"/>
    <w:charset w:val="86"/>
    <w:family w:val="modern"/>
    <w:pitch w:val="default"/>
    <w:sig w:usb0="00000000" w:usb1="00000000" w:usb2="00000000" w:usb3="00000000" w:csb0="00040000" w:csb1="00000000"/>
  </w:font>
  <w:font w:name="仿宋">
    <w:panose1 w:val="02010609060101010101"/>
    <w:charset w:val="86"/>
    <w:family w:val="modern"/>
    <w:pitch w:val="fixed"/>
    <w:sig w:usb0="800002BF" w:usb1="38CF7CFA" w:usb2="00000016" w:usb3="00000000" w:csb0="00040001" w:csb1="00000000"/>
  </w:font>
  <w:font w:name="仿宋_GB2312">
    <w:altName w:val="仿宋"/>
    <w:charset w:val="86"/>
    <w:family w:val="modern"/>
    <w:pitch w:val="default"/>
    <w:sig w:usb0="00000000" w:usb1="00000000" w:usb2="00000010" w:usb3="00000000" w:csb0="00040000" w:csb1="00000000"/>
  </w:font>
  <w:font w:name="等线 Light">
    <w:altName w:val="宋体"/>
    <w:panose1 w:val="00000000000000000000"/>
    <w:charset w:val="86"/>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11B2" w:rsidRDefault="00466C3C">
    <w:pPr>
      <w:pStyle w:val="a6"/>
      <w:widowControl/>
      <w:textAlignment w:val="baseline"/>
      <w:rPr>
        <w:rStyle w:val="NormalCharacter"/>
        <w:rFonts w:ascii="Times New Roman" w:eastAsia="宋体" w:hAnsi="Times New Roman"/>
        <w:sz w:val="18"/>
        <w:szCs w:val="18"/>
      </w:rPr>
    </w:pPr>
    <w:r>
      <w:rPr>
        <w:rStyle w:val="NormalCharacter"/>
        <w:rFonts w:ascii="Times New Roman" w:eastAsia="宋体" w:hAnsi="Times New Roman"/>
        <w:sz w:val="18"/>
        <w:szCs w:val="18"/>
      </w:rPr>
      <w:pict>
        <v:shapetype id="_x0000_t202" coordsize="21600,21600" o:spt="202" path="m,l,21600r21600,l21600,xe">
          <v:stroke joinstyle="miter"/>
          <v:path gradientshapeok="t" o:connecttype="rect"/>
        </v:shapetype>
        <v:shape id="文本框 1" o:spid="_x0000_s2050" type="#_x0000_t202" style="position:absolute;margin-left:0;margin-top:.65pt;width:2in;height:2in;z-index:251656704;mso-position-horizontal:center;mso-position-horizontal-relative:margin;mso-width-relative:page;mso-height-relative:page" o:gfxdata="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D0eqWU1QAAAAYBAAAPAAAAAAAAAAEAIAAAACIAAABkcnMvZG93bnJldi54bWxQSwEC&#10;FAAUAAAACACHTuJAPY5Ihr4BAAB+AwAADgAAAAAAAAABACAAAAAkAQAAZHJzL2Uyb0RvYy54bWxQ&#10;SwUGAAAAAAYABgBZAQAAVAUAAAAA&#10;" filled="f" stroked="f" strokeweight="1.25pt">
          <v:textbox inset="0,0,0,0">
            <w:txbxContent>
              <w:p w:rsidR="004811B2" w:rsidRDefault="004811B2">
                <w:pPr>
                  <w:pStyle w:val="a6"/>
                  <w:widowControl/>
                  <w:jc w:val="both"/>
                  <w:textAlignment w:val="baseline"/>
                  <w:rPr>
                    <w:rStyle w:val="NormalCharacter"/>
                    <w:rFonts w:ascii="Times New Roman" w:eastAsia="宋体" w:hAnsi="Times New Roman"/>
                    <w:sz w:val="20"/>
                    <w:szCs w:val="18"/>
                  </w:rPr>
                </w:pPr>
              </w:p>
              <w:p w:rsidR="004811B2" w:rsidRDefault="004811B2">
                <w:pPr>
                  <w:textAlignment w:val="baseline"/>
                  <w:rPr>
                    <w:rStyle w:val="NormalCharacter"/>
                    <w:rFonts w:ascii="Times New Roman" w:eastAsia="宋体" w:hAnsi="Times New Roman"/>
                    <w:sz w:val="21"/>
                  </w:rPr>
                </w:pPr>
              </w:p>
            </w:txbxContent>
          </v:textbox>
          <w10:wrap anchorx="margin"/>
        </v:shape>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11B2" w:rsidRDefault="00466C3C">
    <w:pPr>
      <w:pStyle w:val="a6"/>
      <w:widowControl/>
      <w:jc w:val="center"/>
      <w:textAlignment w:val="baseline"/>
      <w:rPr>
        <w:rStyle w:val="NormalCharacter"/>
        <w:rFonts w:eastAsia="宋体" w:cs="Calibri"/>
        <w:sz w:val="28"/>
        <w:szCs w:val="28"/>
      </w:rPr>
    </w:pPr>
    <w:r>
      <w:rPr>
        <w:rStyle w:val="NormalCharacter"/>
        <w:rFonts w:eastAsia="宋体" w:cs="Calibri"/>
        <w:sz w:val="28"/>
        <w:szCs w:val="28"/>
      </w:rPr>
      <w:pict>
        <v:shapetype id="_x0000_t202" coordsize="21600,21600" o:spt="202" path="m,l,21600r21600,l21600,xe">
          <v:stroke joinstyle="miter"/>
          <v:path gradientshapeok="t" o:connecttype="rect"/>
        </v:shapetype>
        <v:shape id="文本框 15" o:spid="_x0000_s2051" type="#_x0000_t202" style="position:absolute;left:0;text-align:left;margin-left:0;margin-top:0;width:2in;height:2in;z-index:251657728;mso-wrap-style:none;mso-position-horizontal:center;mso-position-horizontal-relative:margin;mso-width-relative:page;mso-height-relative:page"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OguJYs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6C4liwCAABXBAAADgAAAAAAAAABACAAAAAfAQAAZHJzL2Uyb0RvYy54bWxQSwUGAAAAAAYA&#10;BgBZAQAAvQUAAAAA&#10;" filled="f" stroked="f" strokeweight=".5pt">
          <v:textbox style="mso-fit-shape-to-text:t" inset="0,0,0,0">
            <w:txbxContent>
              <w:p w:rsidR="004811B2" w:rsidRDefault="001F6451">
                <w:pPr>
                  <w:pStyle w:val="a6"/>
                  <w:rPr>
                    <w:rFonts w:eastAsia="宋体"/>
                  </w:rPr>
                </w:pPr>
                <w:r>
                  <w:rPr>
                    <w:rFonts w:hint="eastAsia"/>
                  </w:rPr>
                  <w:fldChar w:fldCharType="begin"/>
                </w:r>
                <w:r>
                  <w:rPr>
                    <w:rFonts w:hint="eastAsia"/>
                  </w:rPr>
                  <w:instrText xml:space="preserve"> PAGE  \* MERGEFORMAT </w:instrText>
                </w:r>
                <w:r>
                  <w:rPr>
                    <w:rFonts w:hint="eastAsia"/>
                  </w:rPr>
                  <w:fldChar w:fldCharType="separate"/>
                </w:r>
                <w:r w:rsidR="00545034">
                  <w:rPr>
                    <w:noProof/>
                  </w:rPr>
                  <w:t>- 26 -</w:t>
                </w:r>
                <w:r>
                  <w:rPr>
                    <w:rFonts w:hint="eastAsia"/>
                  </w:rPr>
                  <w:fldChar w:fldCharType="end"/>
                </w:r>
              </w:p>
            </w:txbxContent>
          </v:textbox>
          <w10:wrap anchorx="margin"/>
        </v:shape>
      </w:pict>
    </w:r>
  </w:p>
  <w:p w:rsidR="004811B2" w:rsidRDefault="00466C3C">
    <w:pPr>
      <w:pStyle w:val="a6"/>
      <w:widowControl/>
      <w:jc w:val="center"/>
      <w:textAlignment w:val="baseline"/>
      <w:rPr>
        <w:rStyle w:val="NormalCharacter"/>
        <w:rFonts w:ascii="Times New Roman" w:eastAsia="宋体" w:hAnsi="Times New Roman"/>
        <w:sz w:val="28"/>
        <w:szCs w:val="28"/>
      </w:rPr>
    </w:pPr>
    <w:r>
      <w:rPr>
        <w:rStyle w:val="NormalCharacter"/>
        <w:rFonts w:ascii="Times New Roman" w:eastAsia="宋体" w:hAnsi="Times New Roman"/>
        <w:sz w:val="28"/>
        <w:szCs w:val="28"/>
      </w:rPr>
      <w:pict>
        <v:shape id="文本框 44" o:spid="_x0000_s2049" type="#_x0000_t202" style="position:absolute;left:0;text-align:left;margin-left:0;margin-top:0;width:2in;height:2in;z-index:251658752;mso-position-horizontal:center;mso-position-horizontal-relative:margin;mso-width-relative:page;mso-height-relative:page" o:gfxdata="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P3u45fSAAAABQEAAA8AAAAAAAAAAQAgAAAAIgAAAGRycy9kb3du&#10;cmV2LnhtbFBLAQIUABQAAAAIAIdO4kAyMoZDzAEAAJgDAAAOAAAAAAAAAAEAIAAAACEBAABkcnMv&#10;ZTJvRG9jLnhtbFBLBQYAAAAABgAGAFkBAABfBQAAAAA=&#10;" filled="f" stroked="f" strokeweight="1.25pt">
          <v:textbox inset="0,0,0,0">
            <w:txbxContent>
              <w:p w:rsidR="004811B2" w:rsidRDefault="004811B2">
                <w:pPr>
                  <w:pStyle w:val="a6"/>
                  <w:widowControl/>
                  <w:jc w:val="center"/>
                  <w:textAlignment w:val="baseline"/>
                  <w:rPr>
                    <w:rStyle w:val="NormalCharacter"/>
                    <w:rFonts w:ascii="仿宋_GB2312" w:eastAsia="仿宋_GB2312" w:hAnsi="仿宋_GB2312"/>
                    <w:sz w:val="28"/>
                    <w:szCs w:val="28"/>
                  </w:rPr>
                </w:pPr>
              </w:p>
              <w:p w:rsidR="004811B2" w:rsidRDefault="004811B2">
                <w:pPr>
                  <w:textAlignment w:val="baseline"/>
                  <w:rPr>
                    <w:rStyle w:val="NormalCharacter"/>
                    <w:rFonts w:ascii="Times New Roman" w:eastAsia="宋体" w:hAnsi="Times New Roman"/>
                    <w:sz w:val="21"/>
                  </w:rPr>
                </w:pPr>
              </w:p>
            </w:txbxContent>
          </v:textbox>
          <w10:wrap anchorx="margin"/>
        </v:shape>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66C3C" w:rsidRDefault="00466C3C">
      <w:r>
        <w:separator/>
      </w:r>
    </w:p>
  </w:footnote>
  <w:footnote w:type="continuationSeparator" w:id="0">
    <w:p w:rsidR="00466C3C" w:rsidRDefault="00466C3C">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bordersDoNotSurroundHeader/>
  <w:bordersDoNotSurroundFooter/>
  <w:proofState w:spelling="clean" w:grammar="clean"/>
  <w:doNotTrackMoves/>
  <w:defaultTabStop w:val="420"/>
  <w:drawingGridVerticalSpacing w:val="156"/>
  <w:noPunctuationKerning/>
  <w:characterSpacingControl w:val="compressPunctuation"/>
  <w:hdrShapeDefaults>
    <o:shapedefaults v:ext="edit" spidmax="2052"/>
    <o:shapelayout v:ext="edit">
      <o:idmap v:ext="edit" data="2"/>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doNotWrapTextWithPunct/>
    <w:doNotUseEastAsianBreakRules/>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2"/>
  </w:compat>
  <w:docVars>
    <w:docVar w:name="commondata" w:val="eyJoZGlkIjoiYzI2NDVhNGM1NjQzYzEzNzBmYzczYzAzZTVkNzI1OWIifQ=="/>
  </w:docVars>
  <w:rsids>
    <w:rsidRoot w:val="00D94DEB"/>
    <w:rsid w:val="0000504C"/>
    <w:rsid w:val="00011BA4"/>
    <w:rsid w:val="00072396"/>
    <w:rsid w:val="00082791"/>
    <w:rsid w:val="000840DF"/>
    <w:rsid w:val="000C3DC1"/>
    <w:rsid w:val="000E2640"/>
    <w:rsid w:val="000E4A5C"/>
    <w:rsid w:val="00187070"/>
    <w:rsid w:val="001E1D60"/>
    <w:rsid w:val="001F6451"/>
    <w:rsid w:val="002822E9"/>
    <w:rsid w:val="002942EB"/>
    <w:rsid w:val="002A2A8F"/>
    <w:rsid w:val="00326DE4"/>
    <w:rsid w:val="0044624D"/>
    <w:rsid w:val="00451F04"/>
    <w:rsid w:val="00466C3C"/>
    <w:rsid w:val="004811B2"/>
    <w:rsid w:val="004E3BEE"/>
    <w:rsid w:val="004E7C72"/>
    <w:rsid w:val="00545034"/>
    <w:rsid w:val="00547110"/>
    <w:rsid w:val="005B6B8C"/>
    <w:rsid w:val="005D0CA7"/>
    <w:rsid w:val="00600B75"/>
    <w:rsid w:val="006746E0"/>
    <w:rsid w:val="006C341C"/>
    <w:rsid w:val="00702CF9"/>
    <w:rsid w:val="0070443A"/>
    <w:rsid w:val="007451C4"/>
    <w:rsid w:val="007502A5"/>
    <w:rsid w:val="007852C0"/>
    <w:rsid w:val="007855DE"/>
    <w:rsid w:val="00840ECF"/>
    <w:rsid w:val="00877D43"/>
    <w:rsid w:val="008826CD"/>
    <w:rsid w:val="00941676"/>
    <w:rsid w:val="009F6387"/>
    <w:rsid w:val="00A349CF"/>
    <w:rsid w:val="00A37AA6"/>
    <w:rsid w:val="00A525D2"/>
    <w:rsid w:val="00A54693"/>
    <w:rsid w:val="00B051C9"/>
    <w:rsid w:val="00B36B95"/>
    <w:rsid w:val="00B567A3"/>
    <w:rsid w:val="00C443C6"/>
    <w:rsid w:val="00C53669"/>
    <w:rsid w:val="00C60DB6"/>
    <w:rsid w:val="00C95A47"/>
    <w:rsid w:val="00CB4D49"/>
    <w:rsid w:val="00D94DEB"/>
    <w:rsid w:val="00DA77BC"/>
    <w:rsid w:val="00E27839"/>
    <w:rsid w:val="00E371F5"/>
    <w:rsid w:val="00E47C14"/>
    <w:rsid w:val="00E53D40"/>
    <w:rsid w:val="00EC00E9"/>
    <w:rsid w:val="00F82C9F"/>
    <w:rsid w:val="00FE3701"/>
    <w:rsid w:val="00FE5804"/>
    <w:rsid w:val="05235D34"/>
    <w:rsid w:val="06A20A39"/>
    <w:rsid w:val="07D7113E"/>
    <w:rsid w:val="08D12F00"/>
    <w:rsid w:val="0A3A79E0"/>
    <w:rsid w:val="0B3049D6"/>
    <w:rsid w:val="0B692FE1"/>
    <w:rsid w:val="0C480258"/>
    <w:rsid w:val="0CD00F0A"/>
    <w:rsid w:val="0EBD0E70"/>
    <w:rsid w:val="0F712BB6"/>
    <w:rsid w:val="102354BF"/>
    <w:rsid w:val="121A010C"/>
    <w:rsid w:val="131B5CEA"/>
    <w:rsid w:val="16215FB7"/>
    <w:rsid w:val="16A36DBB"/>
    <w:rsid w:val="16F83C72"/>
    <w:rsid w:val="171645FF"/>
    <w:rsid w:val="17E112AA"/>
    <w:rsid w:val="18A60DE5"/>
    <w:rsid w:val="1A076D30"/>
    <w:rsid w:val="1BA03591"/>
    <w:rsid w:val="1C505AE1"/>
    <w:rsid w:val="1CC25C22"/>
    <w:rsid w:val="1E501745"/>
    <w:rsid w:val="23616034"/>
    <w:rsid w:val="252300EE"/>
    <w:rsid w:val="27A929FE"/>
    <w:rsid w:val="2874680A"/>
    <w:rsid w:val="2A1D0D41"/>
    <w:rsid w:val="2ABA32FD"/>
    <w:rsid w:val="2B397896"/>
    <w:rsid w:val="2BA1664E"/>
    <w:rsid w:val="2C21126A"/>
    <w:rsid w:val="2C752F1C"/>
    <w:rsid w:val="31E57E30"/>
    <w:rsid w:val="331458FB"/>
    <w:rsid w:val="3381214D"/>
    <w:rsid w:val="33D83D93"/>
    <w:rsid w:val="34A1037A"/>
    <w:rsid w:val="350E3B42"/>
    <w:rsid w:val="360242BD"/>
    <w:rsid w:val="36DF36BB"/>
    <w:rsid w:val="38147E3B"/>
    <w:rsid w:val="38481310"/>
    <w:rsid w:val="389D0C80"/>
    <w:rsid w:val="38D97FC3"/>
    <w:rsid w:val="3ADE556E"/>
    <w:rsid w:val="3B857ED9"/>
    <w:rsid w:val="3B9B0C14"/>
    <w:rsid w:val="3D205241"/>
    <w:rsid w:val="3D9B21BA"/>
    <w:rsid w:val="3E0072AD"/>
    <w:rsid w:val="3E811382"/>
    <w:rsid w:val="3EE83FF7"/>
    <w:rsid w:val="3F40671A"/>
    <w:rsid w:val="3F73635A"/>
    <w:rsid w:val="3FEE08F8"/>
    <w:rsid w:val="41B17D2F"/>
    <w:rsid w:val="43573A87"/>
    <w:rsid w:val="43673D14"/>
    <w:rsid w:val="43E04937"/>
    <w:rsid w:val="44173ECB"/>
    <w:rsid w:val="44421984"/>
    <w:rsid w:val="44A44BC4"/>
    <w:rsid w:val="44AD2E0D"/>
    <w:rsid w:val="45156827"/>
    <w:rsid w:val="46C035F8"/>
    <w:rsid w:val="4D7D7DB9"/>
    <w:rsid w:val="51BE544C"/>
    <w:rsid w:val="525F3CE2"/>
    <w:rsid w:val="526E1E56"/>
    <w:rsid w:val="52A72785"/>
    <w:rsid w:val="5338480E"/>
    <w:rsid w:val="55D8633C"/>
    <w:rsid w:val="562166FF"/>
    <w:rsid w:val="56E90240"/>
    <w:rsid w:val="57A23368"/>
    <w:rsid w:val="57ED0FBA"/>
    <w:rsid w:val="57EF7F46"/>
    <w:rsid w:val="58815E06"/>
    <w:rsid w:val="58FF3D64"/>
    <w:rsid w:val="59545718"/>
    <w:rsid w:val="5A2570B4"/>
    <w:rsid w:val="5C5E02AA"/>
    <w:rsid w:val="5EC47139"/>
    <w:rsid w:val="60936B26"/>
    <w:rsid w:val="60F9182E"/>
    <w:rsid w:val="627E3805"/>
    <w:rsid w:val="634619AE"/>
    <w:rsid w:val="63AA05D7"/>
    <w:rsid w:val="64746C6E"/>
    <w:rsid w:val="659F2553"/>
    <w:rsid w:val="66EF4E57"/>
    <w:rsid w:val="67303293"/>
    <w:rsid w:val="67A4342A"/>
    <w:rsid w:val="6A215794"/>
    <w:rsid w:val="6AAB5A90"/>
    <w:rsid w:val="6C160F2C"/>
    <w:rsid w:val="6D0A3398"/>
    <w:rsid w:val="6D2F6269"/>
    <w:rsid w:val="6D785A21"/>
    <w:rsid w:val="6E995A95"/>
    <w:rsid w:val="6F157D71"/>
    <w:rsid w:val="70390D6C"/>
    <w:rsid w:val="7229607F"/>
    <w:rsid w:val="73B61FEA"/>
    <w:rsid w:val="73D25D6E"/>
    <w:rsid w:val="740B40E6"/>
    <w:rsid w:val="75187F78"/>
    <w:rsid w:val="754E378A"/>
    <w:rsid w:val="75D7090C"/>
    <w:rsid w:val="77185E98"/>
    <w:rsid w:val="77260526"/>
    <w:rsid w:val="77B72634"/>
    <w:rsid w:val="77F40DE4"/>
    <w:rsid w:val="7832203B"/>
    <w:rsid w:val="78DC209A"/>
    <w:rsid w:val="7AF721A5"/>
    <w:rsid w:val="7B516884"/>
    <w:rsid w:val="7BBC67DB"/>
    <w:rsid w:val="7C8B0BA1"/>
    <w:rsid w:val="7DD37E5E"/>
    <w:rsid w:val="7E637C8C"/>
    <w:rsid w:val="7F891D79"/>
    <w:rsid w:val="7FB31700"/>
    <w:rsid w:val="7FD03A10"/>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2"/>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semiHidden="0" w:uiPriority="9" w:unhideWhenUsed="0" w:qFormat="1"/>
    <w:lsdException w:name="heading 4" w:qFormat="1"/>
    <w:lsdException w:name="heading 5" w:qFormat="1"/>
    <w:lsdException w:name="heading 6" w:qFormat="1"/>
    <w:lsdException w:name="heading 7" w:qFormat="1"/>
    <w:lsdException w:name="heading 8" w:qFormat="1"/>
    <w:lsdException w:name="heading 9" w:qFormat="1"/>
    <w:lsdException w:name="header" w:semiHidden="0" w:unhideWhenUsed="0" w:qFormat="1"/>
    <w:lsdException w:name="footer" w:semiHidden="0" w:unhideWhenUsed="0" w:qFormat="1"/>
    <w:lsdException w:name="caption" w:semiHidden="0" w:unhideWhenUsed="0" w:qFormat="1"/>
    <w:lsdException w:name="page number" w:semiHidden="0" w:unhideWhenUsed="0"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Default Paragraph Font" w:uiPriority="1" w:qFormat="1"/>
    <w:lsdException w:name="Body Text" w:semiHidden="0" w:uiPriority="1"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Hyperlink" w:semiHidden="0" w:unhideWhenUsed="0" w:qFormat="1"/>
    <w:lsdException w:name="FollowedHyperlink" w:semiHidden="0" w:unhideWhenUsed="0" w:qFormat="1"/>
    <w:lsdException w:name="Strong" w:semiHidden="0" w:unhideWhenUsed="0" w:qFormat="1"/>
    <w:lsdException w:name="Emphasis" w:semiHidden="0" w:unhideWhenUsed="0" w:qFormat="1"/>
    <w:lsdException w:name="HTML Top of Form" w:uiPriority="99"/>
    <w:lsdException w:name="HTML Bottom of Form" w:uiPriority="99"/>
    <w:lsdException w:name="Normal (Web)" w:semiHidden="0" w:unhideWhenUsed="0" w:qFormat="1"/>
    <w:lsdException w:name="Normal Table" w:uiPriority="99" w:qFormat="1"/>
    <w:lsdException w:name="No List" w:uiPriority="99"/>
    <w:lsdException w:name="Outline List 1" w:uiPriority="99"/>
    <w:lsdException w:name="Outline List 2" w:uiPriority="99"/>
    <w:lsdException w:name="Outline List 3" w:uiPriority="99"/>
    <w:lsdException w:name="Balloon Text" w:semiHidden="0" w:unhideWhenUsed="0" w:qFormat="1"/>
    <w:lsdException w:name="Table Grid" w:semiHidden="0" w:unhideWhenUsed="0" w:qFormat="1"/>
    <w:lsdException w:name="Placeholder Text" w:uiPriority="99"/>
    <w:lsdException w:name="No Spacing" w:uiPriority="99"/>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lsdException w:name="List Paragraph" w:semiHidden="0" w:uiPriority="99" w:unhideWhenUsed="0" w:qFormat="1"/>
    <w:lsdException w:name="Quote" w:uiPriority="99"/>
    <w:lsdException w:name="Intense Quote" w:uiPriority="99"/>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next w:val="3"/>
    <w:qFormat/>
    <w:pPr>
      <w:widowControl w:val="0"/>
      <w:jc w:val="both"/>
    </w:pPr>
    <w:rPr>
      <w:rFonts w:ascii="Calibri" w:eastAsia="方正仿宋简体" w:hAnsi="Calibri"/>
      <w:kern w:val="2"/>
      <w:sz w:val="32"/>
      <w:szCs w:val="24"/>
    </w:rPr>
  </w:style>
  <w:style w:type="paragraph" w:styleId="1">
    <w:name w:val="heading 1"/>
    <w:basedOn w:val="a"/>
    <w:next w:val="a"/>
    <w:qFormat/>
    <w:pPr>
      <w:spacing w:beforeAutospacing="1" w:afterAutospacing="1"/>
      <w:jc w:val="left"/>
      <w:outlineLvl w:val="0"/>
    </w:pPr>
    <w:rPr>
      <w:rFonts w:ascii="宋体" w:eastAsia="宋体" w:hAnsi="宋体" w:hint="eastAsia"/>
      <w:b/>
      <w:kern w:val="44"/>
      <w:sz w:val="48"/>
      <w:szCs w:val="48"/>
    </w:rPr>
  </w:style>
  <w:style w:type="paragraph" w:styleId="3">
    <w:name w:val="heading 3"/>
    <w:basedOn w:val="a"/>
    <w:next w:val="a"/>
    <w:uiPriority w:val="9"/>
    <w:qFormat/>
    <w:pPr>
      <w:spacing w:line="600" w:lineRule="exact"/>
      <w:ind w:firstLineChars="200" w:firstLine="640"/>
      <w:outlineLvl w:val="2"/>
    </w:pPr>
    <w:rPr>
      <w:rFonts w:ascii="黑体" w:eastAsia="黑体" w:hAnsi="黑体"/>
      <w:color w:val="000000"/>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caption"/>
    <w:basedOn w:val="a"/>
    <w:next w:val="a"/>
    <w:qFormat/>
    <w:rPr>
      <w:sz w:val="20"/>
      <w:szCs w:val="20"/>
    </w:rPr>
  </w:style>
  <w:style w:type="paragraph" w:styleId="a4">
    <w:name w:val="Body Text"/>
    <w:basedOn w:val="a"/>
    <w:uiPriority w:val="1"/>
    <w:qFormat/>
    <w:rPr>
      <w:rFonts w:ascii="楷体" w:eastAsia="楷体" w:hAnsi="楷体" w:cs="楷体"/>
      <w:sz w:val="21"/>
      <w:szCs w:val="21"/>
    </w:rPr>
  </w:style>
  <w:style w:type="paragraph" w:styleId="a5">
    <w:name w:val="Balloon Text"/>
    <w:basedOn w:val="a"/>
    <w:link w:val="Char"/>
    <w:qFormat/>
    <w:rPr>
      <w:sz w:val="18"/>
      <w:szCs w:val="18"/>
    </w:rPr>
  </w:style>
  <w:style w:type="paragraph" w:styleId="a6">
    <w:name w:val="footer"/>
    <w:basedOn w:val="a"/>
    <w:qFormat/>
    <w:pPr>
      <w:tabs>
        <w:tab w:val="center" w:pos="4153"/>
        <w:tab w:val="right" w:pos="8306"/>
      </w:tabs>
      <w:snapToGrid w:val="0"/>
      <w:jc w:val="left"/>
    </w:pPr>
    <w:rPr>
      <w:sz w:val="18"/>
      <w:szCs w:val="18"/>
    </w:rPr>
  </w:style>
  <w:style w:type="paragraph" w:styleId="a7">
    <w:name w:val="header"/>
    <w:basedOn w:val="a"/>
    <w:qFormat/>
    <w:pPr>
      <w:pBdr>
        <w:bottom w:val="single" w:sz="6" w:space="1" w:color="auto"/>
      </w:pBdr>
      <w:tabs>
        <w:tab w:val="center" w:pos="4153"/>
        <w:tab w:val="right" w:pos="8306"/>
      </w:tabs>
      <w:snapToGrid w:val="0"/>
      <w:jc w:val="center"/>
    </w:pPr>
    <w:rPr>
      <w:sz w:val="18"/>
      <w:szCs w:val="18"/>
    </w:rPr>
  </w:style>
  <w:style w:type="paragraph" w:styleId="a8">
    <w:name w:val="Normal (Web)"/>
    <w:basedOn w:val="a"/>
    <w:qFormat/>
    <w:pPr>
      <w:spacing w:beforeAutospacing="1" w:afterAutospacing="1"/>
      <w:jc w:val="left"/>
    </w:pPr>
    <w:rPr>
      <w:kern w:val="0"/>
      <w:sz w:val="24"/>
    </w:rPr>
  </w:style>
  <w:style w:type="table" w:styleId="a9">
    <w:name w:val="Table Grid"/>
    <w:basedOn w:val="a1"/>
    <w:qFormat/>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a">
    <w:name w:val="Strong"/>
    <w:qFormat/>
    <w:rPr>
      <w:b/>
    </w:rPr>
  </w:style>
  <w:style w:type="character" w:styleId="ab">
    <w:name w:val="page number"/>
    <w:basedOn w:val="a0"/>
    <w:qFormat/>
  </w:style>
  <w:style w:type="character" w:styleId="ac">
    <w:name w:val="FollowedHyperlink"/>
    <w:qFormat/>
    <w:rPr>
      <w:color w:val="800080"/>
      <w:u w:val="none"/>
    </w:rPr>
  </w:style>
  <w:style w:type="character" w:styleId="ad">
    <w:name w:val="Hyperlink"/>
    <w:qFormat/>
    <w:rPr>
      <w:color w:val="0000FF"/>
      <w:u w:val="none"/>
    </w:rPr>
  </w:style>
  <w:style w:type="character" w:customStyle="1" w:styleId="Char">
    <w:name w:val="批注框文本 Char"/>
    <w:link w:val="a5"/>
    <w:qFormat/>
    <w:rPr>
      <w:rFonts w:ascii="Calibri" w:eastAsia="方正仿宋简体" w:hAnsi="Calibri" w:cs="Times New Roman"/>
      <w:kern w:val="2"/>
      <w:sz w:val="18"/>
      <w:szCs w:val="18"/>
    </w:rPr>
  </w:style>
  <w:style w:type="character" w:customStyle="1" w:styleId="hover21">
    <w:name w:val="hover21"/>
    <w:qFormat/>
    <w:rPr>
      <w:color w:val="557EE7"/>
    </w:rPr>
  </w:style>
  <w:style w:type="paragraph" w:customStyle="1" w:styleId="-11">
    <w:name w:val="彩色列表 - 强调文字颜色 11"/>
    <w:basedOn w:val="a"/>
    <w:qFormat/>
    <w:pPr>
      <w:ind w:firstLineChars="200" w:firstLine="420"/>
    </w:pPr>
    <w:rPr>
      <w:rFonts w:ascii="Cambria" w:hAnsi="Cambria"/>
      <w:szCs w:val="22"/>
    </w:rPr>
  </w:style>
  <w:style w:type="character" w:customStyle="1" w:styleId="NormalCharacter">
    <w:name w:val="NormalCharacter"/>
    <w:semiHidden/>
    <w:qFormat/>
    <w:rPr>
      <w:rFonts w:ascii="Calibri" w:eastAsia="方正仿宋简体" w:hAnsi="Calibri" w:cs="Times New Roman"/>
      <w:kern w:val="2"/>
      <w:sz w:val="32"/>
      <w:szCs w:val="24"/>
      <w:lang w:val="en-US" w:eastAsia="zh-CN" w:bidi="ar-SA"/>
    </w:rPr>
  </w:style>
  <w:style w:type="paragraph" w:customStyle="1" w:styleId="Heading3">
    <w:name w:val="Heading3"/>
    <w:basedOn w:val="a"/>
    <w:next w:val="a"/>
    <w:qFormat/>
    <w:pPr>
      <w:spacing w:line="600" w:lineRule="exact"/>
      <w:ind w:firstLineChars="200" w:firstLine="640"/>
      <w:textAlignment w:val="baseline"/>
    </w:pPr>
    <w:rPr>
      <w:rFonts w:ascii="黑体" w:eastAsia="黑体" w:hAnsi="黑体"/>
      <w:color w:val="000000"/>
      <w:szCs w:val="32"/>
    </w:rPr>
  </w:style>
  <w:style w:type="paragraph" w:styleId="ae">
    <w:name w:val="List Paragraph"/>
    <w:basedOn w:val="a"/>
    <w:uiPriority w:val="99"/>
    <w:qFormat/>
    <w:pPr>
      <w:ind w:firstLineChars="200" w:firstLine="42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fontTable" Target="fontTable.xml"/><Relationship Id="rId3" Type="http://schemas.microsoft.com/office/2007/relationships/stylesWithEffects" Target="stylesWithEffects.xml"/><Relationship Id="rId21" Type="http://schemas.openxmlformats.org/officeDocument/2006/relationships/image" Target="media/image13.png"/><Relationship Id="rId34" Type="http://schemas.openxmlformats.org/officeDocument/2006/relationships/image" Target="media/image26.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footer" Target="footer2.xml"/><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2050"/>
    <customShpInfo spid="_x0000_s2051"/>
    <customShpInfo spid="_x0000_s2049"/>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25</TotalTime>
  <Pages>1</Pages>
  <Words>1855</Words>
  <Characters>10576</Characters>
  <Application>Microsoft Office Word</Application>
  <DocSecurity>0</DocSecurity>
  <Lines>88</Lines>
  <Paragraphs>24</Paragraphs>
  <ScaleCrop>false</ScaleCrop>
  <Company>Microsoft</Company>
  <LinksUpToDate>false</LinksUpToDate>
  <CharactersWithSpaces>12407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XWB</dc:creator>
  <cp:lastModifiedBy>Windows</cp:lastModifiedBy>
  <cp:revision>9</cp:revision>
  <cp:lastPrinted>2021-11-23T08:25:00Z</cp:lastPrinted>
  <dcterms:created xsi:type="dcterms:W3CDTF">2021-11-23T08:59:00Z</dcterms:created>
  <dcterms:modified xsi:type="dcterms:W3CDTF">2023-03-17T02:40:00Z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2052-11.1.0.12980</vt:lpwstr>
  </property>
  <property fmtid="{D5CDD505-2E9C-101B-9397-08002B2CF9AE}" pid="3" name="ICV">
    <vt:lpwstr>C7EF5BF074F148B49FDD73AD7B31B0CB</vt:lpwstr>
  </property>
</Properties>
</file>