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b/>
          <w:sz w:val="28"/>
          <w:szCs w:val="28"/>
        </w:rPr>
      </w:pPr>
    </w:p>
    <w:p>
      <w:pPr>
        <w:spacing w:after="156" w:line="560" w:lineRule="exact"/>
        <w:jc w:val="center"/>
        <w:textAlignment w:val="baseline"/>
        <w:rPr>
          <w:rStyle w:val="20"/>
          <w:rFonts w:ascii="方正小标宋简体" w:hAnsi="宋体" w:eastAsia="方正小标宋简体"/>
          <w:b/>
          <w:sz w:val="44"/>
          <w:szCs w:val="44"/>
        </w:rPr>
      </w:pPr>
    </w:p>
    <w:p>
      <w:pPr>
        <w:spacing w:after="156" w:line="560" w:lineRule="exact"/>
        <w:jc w:val="center"/>
        <w:textAlignment w:val="baseline"/>
        <w:rPr>
          <w:rStyle w:val="20"/>
          <w:rFonts w:ascii="方正小标宋简体" w:hAnsi="宋体" w:eastAsia="方正小标宋简体"/>
          <w:bCs/>
          <w:sz w:val="44"/>
          <w:szCs w:val="44"/>
        </w:rPr>
      </w:pPr>
    </w:p>
    <w:p>
      <w:pPr>
        <w:spacing w:after="156" w:line="560" w:lineRule="exact"/>
        <w:jc w:val="center"/>
        <w:textAlignment w:val="baseline"/>
        <w:rPr>
          <w:rStyle w:val="20"/>
          <w:rFonts w:ascii="方正小标宋简体" w:hAnsi="宋体" w:eastAsia="方正小标宋简体"/>
          <w:bCs/>
          <w:sz w:val="44"/>
          <w:szCs w:val="44"/>
        </w:rPr>
      </w:pPr>
    </w:p>
    <w:p>
      <w:pPr>
        <w:spacing w:after="156" w:line="560" w:lineRule="exact"/>
        <w:jc w:val="center"/>
        <w:textAlignment w:val="baseline"/>
        <w:rPr>
          <w:rStyle w:val="20"/>
          <w:rFonts w:ascii="方正小标宋简体" w:hAnsi="宋体" w:eastAsia="方正小标宋简体"/>
          <w:bCs/>
          <w:sz w:val="44"/>
          <w:szCs w:val="44"/>
        </w:rPr>
      </w:pPr>
      <w:r>
        <w:rPr>
          <w:rStyle w:val="20"/>
          <w:rFonts w:hint="eastAsia" w:ascii="方正小标宋简体" w:hAnsi="宋体" w:eastAsia="方正小标宋简体"/>
          <w:bCs/>
          <w:sz w:val="44"/>
          <w:szCs w:val="44"/>
        </w:rPr>
        <w:t>研究生教育发展质量年度报告</w:t>
      </w:r>
    </w:p>
    <w:p>
      <w:pPr>
        <w:spacing w:after="156" w:line="560" w:lineRule="exact"/>
        <w:jc w:val="center"/>
        <w:textAlignment w:val="baseline"/>
        <w:rPr>
          <w:rStyle w:val="20"/>
          <w:rFonts w:ascii="方正小标宋简体" w:hAnsi="宋体" w:eastAsia="方正小标宋简体"/>
          <w:bCs/>
          <w:sz w:val="44"/>
          <w:szCs w:val="44"/>
        </w:rPr>
      </w:pPr>
    </w:p>
    <w:p>
      <w:pPr>
        <w:snapToGrid w:val="0"/>
        <w:jc w:val="center"/>
        <w:textAlignment w:val="baseline"/>
        <w:rPr>
          <w:rStyle w:val="20"/>
          <w:rFonts w:ascii="Times New Roman" w:hAnsi="Times New Roman" w:eastAsia="宋体"/>
          <w:b/>
          <w:sz w:val="48"/>
          <w:szCs w:val="20"/>
        </w:rPr>
      </w:pPr>
    </w:p>
    <w:p>
      <w:pPr>
        <w:snapToGrid w:val="0"/>
        <w:jc w:val="center"/>
        <w:textAlignment w:val="baseline"/>
        <w:rPr>
          <w:rStyle w:val="20"/>
          <w:rFonts w:ascii="Times New Roman" w:hAnsi="Times New Roman" w:eastAsia="宋体"/>
          <w:b/>
          <w:sz w:val="48"/>
          <w:szCs w:val="20"/>
        </w:rPr>
      </w:pPr>
    </w:p>
    <w:p>
      <w:pPr>
        <w:snapToGrid w:val="0"/>
        <w:spacing w:line="300" w:lineRule="auto"/>
        <w:jc w:val="center"/>
        <w:textAlignment w:val="baseline"/>
        <w:rPr>
          <w:rStyle w:val="20"/>
          <w:rFonts w:ascii="Times New Roman" w:hAnsi="Times New Roman" w:eastAsia="宋体"/>
          <w:b/>
          <w:szCs w:val="32"/>
        </w:rPr>
      </w:pPr>
    </w:p>
    <w:tbl>
      <w:tblPr>
        <w:tblStyle w:val="10"/>
        <w:tblW w:w="5362" w:type="dxa"/>
        <w:jc w:val="center"/>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1385"/>
        <w:gridCol w:w="3977"/>
      </w:tblGrid>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PrEx>
        <w:trPr>
          <w:trHeight w:val="794" w:hRule="atLeast"/>
          <w:jc w:val="center"/>
        </w:trPr>
        <w:tc>
          <w:tcPr>
            <w:tcW w:w="1385" w:type="dxa"/>
            <w:vMerge w:val="restart"/>
            <w:tcBorders>
              <w:top w:val="nil"/>
              <w:left w:val="nil"/>
              <w:bottom w:val="single" w:color="000000" w:sz="4" w:space="0"/>
              <w:right w:val="single" w:color="000000" w:sz="4" w:space="0"/>
            </w:tcBorders>
            <w:vAlign w:val="center"/>
          </w:tcPr>
          <w:p>
            <w:pPr>
              <w:snapToGrid w:val="0"/>
              <w:spacing w:line="240" w:lineRule="atLeast"/>
              <w:jc w:val="center"/>
              <w:textAlignment w:val="baseline"/>
              <w:rPr>
                <w:rStyle w:val="20"/>
                <w:rFonts w:ascii="Times New Roman" w:hAnsi="Times New Roman" w:eastAsia="宋体"/>
                <w:b/>
                <w:spacing w:val="-10"/>
                <w:szCs w:val="32"/>
              </w:rPr>
            </w:pPr>
            <w:r>
              <w:rPr>
                <w:rStyle w:val="20"/>
                <w:rFonts w:hint="eastAsia" w:ascii="Times New Roman" w:hAnsi="Times New Roman" w:eastAsia="宋体"/>
                <w:b/>
                <w:spacing w:val="-10"/>
                <w:szCs w:val="32"/>
              </w:rPr>
              <w:t>学院</w:t>
            </w:r>
          </w:p>
          <w:p>
            <w:pPr>
              <w:snapToGrid w:val="0"/>
              <w:spacing w:line="240" w:lineRule="atLeast"/>
              <w:jc w:val="center"/>
              <w:textAlignment w:val="baseline"/>
              <w:rPr>
                <w:rStyle w:val="20"/>
                <w:rFonts w:ascii="Times New Roman" w:hAnsi="Times New Roman" w:eastAsia="宋体"/>
                <w:b/>
                <w:spacing w:val="-10"/>
                <w:szCs w:val="32"/>
              </w:rPr>
            </w:pPr>
            <w:r>
              <w:rPr>
                <w:rStyle w:val="20"/>
                <w:rFonts w:ascii="Times New Roman" w:hAnsi="Times New Roman" w:eastAsia="宋体"/>
                <w:b/>
                <w:spacing w:val="-10"/>
                <w:szCs w:val="32"/>
              </w:rPr>
              <w:t>（公章）</w:t>
            </w:r>
          </w:p>
        </w:tc>
        <w:tc>
          <w:tcPr>
            <w:tcW w:w="3977" w:type="dxa"/>
            <w:tcBorders>
              <w:top w:val="nil"/>
              <w:left w:val="single" w:color="000000" w:sz="4" w:space="0"/>
              <w:bottom w:val="single" w:color="000000" w:sz="4" w:space="0"/>
              <w:right w:val="nil"/>
            </w:tcBorders>
            <w:vAlign w:val="center"/>
          </w:tcPr>
          <w:p>
            <w:pPr>
              <w:snapToGrid w:val="0"/>
              <w:spacing w:line="300" w:lineRule="auto"/>
              <w:textAlignment w:val="baseline"/>
              <w:rPr>
                <w:rStyle w:val="20"/>
                <w:rFonts w:ascii="Times New Roman" w:hAnsi="Times New Roman" w:eastAsia="宋体"/>
                <w:b/>
                <w:spacing w:val="-10"/>
                <w:szCs w:val="32"/>
              </w:rPr>
            </w:pPr>
            <w:r>
              <w:rPr>
                <w:rStyle w:val="20"/>
                <w:rFonts w:ascii="Times New Roman" w:hAnsi="Times New Roman" w:eastAsia="宋体"/>
                <w:b/>
                <w:spacing w:val="-10"/>
                <w:szCs w:val="32"/>
              </w:rPr>
              <w:t>名称：</w:t>
            </w:r>
            <w:r>
              <w:rPr>
                <w:rStyle w:val="20"/>
                <w:rFonts w:hint="eastAsia" w:ascii="Times New Roman" w:hAnsi="Times New Roman" w:eastAsia="宋体"/>
                <w:b/>
                <w:spacing w:val="-10"/>
                <w:szCs w:val="32"/>
              </w:rPr>
              <w:t>机械与动力工程学院</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1385" w:type="dxa"/>
            <w:vMerge w:val="continue"/>
            <w:tcBorders>
              <w:top w:val="single" w:color="000000" w:sz="4" w:space="0"/>
              <w:left w:val="nil"/>
              <w:bottom w:val="nil"/>
              <w:right w:val="single" w:color="000000" w:sz="4" w:space="0"/>
            </w:tcBorders>
            <w:vAlign w:val="center"/>
          </w:tcPr>
          <w:p>
            <w:pPr>
              <w:snapToGrid w:val="0"/>
              <w:spacing w:line="300" w:lineRule="auto"/>
              <w:jc w:val="center"/>
              <w:textAlignment w:val="baseline"/>
              <w:rPr>
                <w:rStyle w:val="20"/>
                <w:rFonts w:ascii="Times New Roman" w:hAnsi="Times New Roman" w:eastAsia="宋体"/>
                <w:b/>
                <w:spacing w:val="-10"/>
                <w:szCs w:val="32"/>
              </w:rPr>
            </w:pPr>
          </w:p>
        </w:tc>
        <w:tc>
          <w:tcPr>
            <w:tcW w:w="3977" w:type="dxa"/>
            <w:tcBorders>
              <w:top w:val="single" w:color="000000" w:sz="4" w:space="0"/>
              <w:left w:val="single" w:color="000000" w:sz="4" w:space="0"/>
              <w:bottom w:val="nil"/>
              <w:right w:val="nil"/>
            </w:tcBorders>
            <w:vAlign w:val="center"/>
          </w:tcPr>
          <w:p>
            <w:pPr>
              <w:snapToGrid w:val="0"/>
              <w:spacing w:line="300" w:lineRule="auto"/>
              <w:textAlignment w:val="baseline"/>
              <w:rPr>
                <w:rStyle w:val="20"/>
                <w:rFonts w:ascii="Times New Roman" w:hAnsi="Times New Roman" w:eastAsia="宋体"/>
                <w:b/>
                <w:spacing w:val="-10"/>
                <w:szCs w:val="32"/>
              </w:rPr>
            </w:pPr>
          </w:p>
        </w:tc>
      </w:tr>
    </w:tbl>
    <w:p>
      <w:pPr>
        <w:snapToGrid w:val="0"/>
        <w:spacing w:line="300" w:lineRule="auto"/>
        <w:jc w:val="center"/>
        <w:textAlignment w:val="baseline"/>
        <w:rPr>
          <w:rStyle w:val="20"/>
          <w:rFonts w:ascii="Times New Roman" w:hAnsi="Times New Roman" w:eastAsia="宋体"/>
          <w:b/>
          <w:sz w:val="48"/>
          <w:szCs w:val="20"/>
        </w:rPr>
      </w:pPr>
    </w:p>
    <w:p>
      <w:pPr>
        <w:spacing w:line="560" w:lineRule="exact"/>
        <w:jc w:val="center"/>
        <w:textAlignment w:val="baseline"/>
        <w:rPr>
          <w:rStyle w:val="20"/>
          <w:rFonts w:ascii="Times New Roman" w:hAnsi="Times New Roman" w:eastAsia="楷体_GB2312"/>
          <w:b/>
          <w:sz w:val="30"/>
          <w:szCs w:val="30"/>
        </w:rPr>
      </w:pPr>
    </w:p>
    <w:p>
      <w:pPr>
        <w:pStyle w:val="21"/>
        <w:widowControl/>
        <w:rPr>
          <w:rStyle w:val="20"/>
          <w:rFonts w:ascii="黑体" w:hAnsi="黑体" w:eastAsia="黑体"/>
          <w:color w:val="auto"/>
          <w:szCs w:val="32"/>
        </w:rPr>
      </w:pPr>
    </w:p>
    <w:p>
      <w:pPr>
        <w:spacing w:line="560" w:lineRule="exact"/>
        <w:jc w:val="center"/>
        <w:textAlignment w:val="baseline"/>
        <w:rPr>
          <w:rStyle w:val="20"/>
          <w:rFonts w:ascii="Times New Roman" w:hAnsi="Times New Roman" w:eastAsia="楷体_GB2312"/>
          <w:b/>
          <w:sz w:val="30"/>
          <w:szCs w:val="30"/>
        </w:rPr>
      </w:pPr>
    </w:p>
    <w:p>
      <w:pPr>
        <w:pStyle w:val="2"/>
      </w:pPr>
    </w:p>
    <w:p>
      <w:pPr>
        <w:spacing w:line="560" w:lineRule="exact"/>
        <w:jc w:val="center"/>
        <w:textAlignment w:val="baseline"/>
        <w:rPr>
          <w:rStyle w:val="20"/>
          <w:rFonts w:ascii="黑体" w:hAnsi="黑体" w:eastAsia="黑体"/>
          <w:szCs w:val="32"/>
        </w:rPr>
        <w:sectPr>
          <w:footerReference r:id="rId3" w:type="default"/>
          <w:pgSz w:w="11906" w:h="16838"/>
          <w:pgMar w:top="1440" w:right="1800" w:bottom="1440" w:left="1800" w:header="851" w:footer="992" w:gutter="0"/>
          <w:pgNumType w:start="1"/>
          <w:cols w:space="720" w:num="1"/>
          <w:docGrid w:type="lines" w:linePitch="312" w:charSpace="0"/>
        </w:sectPr>
      </w:pPr>
      <w:r>
        <w:rPr>
          <w:rStyle w:val="20"/>
          <w:rFonts w:hint="eastAsia" w:ascii="Times New Roman" w:hAnsi="Times New Roman" w:eastAsia="楷体_GB2312"/>
          <w:b/>
          <w:szCs w:val="32"/>
        </w:rPr>
        <w:t>2024</w:t>
      </w:r>
      <w:r>
        <w:rPr>
          <w:rStyle w:val="20"/>
          <w:rFonts w:ascii="Times New Roman" w:hAnsi="Times New Roman" w:eastAsia="楷体_GB2312"/>
          <w:b/>
          <w:szCs w:val="32"/>
        </w:rPr>
        <w:t>年</w:t>
      </w:r>
      <w:r>
        <w:rPr>
          <w:rStyle w:val="20"/>
          <w:rFonts w:hint="eastAsia" w:ascii="Times New Roman" w:hAnsi="Times New Roman" w:eastAsia="楷体_GB2312"/>
          <w:b/>
          <w:szCs w:val="32"/>
        </w:rPr>
        <w:t>3</w:t>
      </w:r>
      <w:r>
        <w:rPr>
          <w:rStyle w:val="20"/>
          <w:rFonts w:ascii="Times New Roman" w:hAnsi="Times New Roman" w:eastAsia="楷体_GB2312"/>
          <w:b/>
          <w:szCs w:val="32"/>
        </w:rPr>
        <w:t>月</w:t>
      </w:r>
      <w:r>
        <w:rPr>
          <w:rStyle w:val="20"/>
          <w:rFonts w:hint="eastAsia" w:ascii="Times New Roman" w:hAnsi="Times New Roman" w:eastAsia="楷体_GB2312"/>
          <w:b/>
          <w:szCs w:val="32"/>
        </w:rPr>
        <w:t>10</w:t>
      </w:r>
      <w:r>
        <w:rPr>
          <w:rStyle w:val="20"/>
          <w:rFonts w:ascii="Times New Roman" w:hAnsi="Times New Roman" w:eastAsia="楷体_GB2312"/>
          <w:b/>
          <w:szCs w:val="32"/>
        </w:rPr>
        <w:t>日</w:t>
      </w:r>
    </w:p>
    <w:p>
      <w:pPr>
        <w:pStyle w:val="2"/>
        <w:spacing w:line="560" w:lineRule="exact"/>
        <w:rPr>
          <w:rStyle w:val="20"/>
          <w:rFonts w:ascii="黑体" w:hAnsi="黑体" w:eastAsia="黑体" w:cs="方正仿宋简体"/>
          <w:color w:val="auto"/>
          <w:szCs w:val="32"/>
        </w:rPr>
      </w:pPr>
      <w:r>
        <w:rPr>
          <w:rStyle w:val="20"/>
          <w:rFonts w:hint="eastAsia" w:ascii="黑体" w:hAnsi="黑体" w:eastAsia="黑体" w:cs="方正仿宋简体"/>
          <w:color w:val="auto"/>
          <w:szCs w:val="32"/>
        </w:rPr>
        <w:t>一、总体概况</w:t>
      </w:r>
    </w:p>
    <w:p>
      <w:pPr>
        <w:pStyle w:val="2"/>
        <w:spacing w:line="560" w:lineRule="exact"/>
        <w:ind w:firstLine="643"/>
        <w:rPr>
          <w:rStyle w:val="20"/>
          <w:rFonts w:ascii="楷体" w:hAnsi="楷体" w:eastAsia="楷体" w:cs="方正仿宋简体"/>
          <w:b/>
          <w:color w:val="auto"/>
          <w:szCs w:val="32"/>
        </w:rPr>
      </w:pPr>
      <w:r>
        <w:rPr>
          <w:rStyle w:val="20"/>
          <w:rFonts w:hint="eastAsia" w:ascii="楷体" w:hAnsi="楷体" w:eastAsia="楷体" w:cs="方正仿宋简体"/>
          <w:b/>
          <w:color w:val="auto"/>
          <w:szCs w:val="32"/>
        </w:rPr>
        <w:t>（一）学位授权点基本情况</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szCs w:val="24"/>
        </w:rPr>
      </w:pPr>
      <w:r>
        <w:rPr>
          <w:rFonts w:hint="eastAsia" w:ascii="仿宋" w:hAnsi="仿宋" w:eastAsia="仿宋"/>
          <w:szCs w:val="24"/>
        </w:rPr>
        <w:t>本学院拥有2个硕士学位一级学科（动力工程及工程热物理080700，机械工程080200），2个专业硕士授权领域（动力工程085802，机械工程085501）。</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szCs w:val="24"/>
        </w:rPr>
      </w:pPr>
      <w:r>
        <w:rPr>
          <w:rFonts w:ascii="仿宋" w:hAnsi="仿宋" w:eastAsia="仿宋"/>
          <w:szCs w:val="24"/>
        </w:rPr>
        <w:t>动力工程及工程热物理学科相关本科专业设立于1952年，1996年获得化工过程机械二级学科硕士学位授予权，2006年获得流体机械及工程二级学科硕士学位授予权，2011年获得动力工程及工程热物理一级学科硕士学位授予权。化工过程机械学科于2008年被评为辽宁省重点学科，于2013年被评为辽宁省优势特色学科。</w:t>
      </w:r>
      <w:r>
        <w:rPr>
          <w:rFonts w:hint="eastAsia" w:ascii="仿宋" w:hAnsi="仿宋" w:eastAsia="仿宋"/>
          <w:szCs w:val="24"/>
        </w:rPr>
        <w:t>本</w:t>
      </w:r>
      <w:r>
        <w:rPr>
          <w:rFonts w:ascii="仿宋" w:hAnsi="仿宋" w:eastAsia="仿宋"/>
          <w:szCs w:val="24"/>
        </w:rPr>
        <w:t>学科形成了稳定的、国内外具有一定影响的</w:t>
      </w:r>
      <w:r>
        <w:rPr>
          <w:rFonts w:hint="eastAsia" w:ascii="仿宋" w:hAnsi="仿宋" w:eastAsia="仿宋"/>
          <w:szCs w:val="24"/>
        </w:rPr>
        <w:t>4</w:t>
      </w:r>
      <w:r>
        <w:rPr>
          <w:rFonts w:ascii="仿宋" w:hAnsi="仿宋" w:eastAsia="仿宋"/>
          <w:szCs w:val="24"/>
        </w:rPr>
        <w:t>个研究方向，包括化工过程强化、过程装备安全技术及可靠性、化工设备场特性及其优化、流体输送技术及理论、工业热过程理论与技术等。经过多年的建设与发展，形成了</w:t>
      </w:r>
      <w:r>
        <w:rPr>
          <w:rFonts w:hint="eastAsia" w:ascii="仿宋" w:hAnsi="仿宋" w:eastAsia="仿宋"/>
          <w:szCs w:val="24"/>
        </w:rPr>
        <w:t>“</w:t>
      </w:r>
      <w:r>
        <w:rPr>
          <w:rFonts w:ascii="仿宋" w:hAnsi="仿宋" w:eastAsia="仿宋"/>
          <w:szCs w:val="24"/>
        </w:rPr>
        <w:t>面向过程行业，注重应用基础研究，强调技术创新和工程应用</w:t>
      </w:r>
      <w:r>
        <w:rPr>
          <w:rFonts w:hint="eastAsia" w:ascii="仿宋" w:hAnsi="仿宋" w:eastAsia="仿宋"/>
          <w:szCs w:val="24"/>
        </w:rPr>
        <w:t>”</w:t>
      </w:r>
      <w:r>
        <w:rPr>
          <w:rFonts w:ascii="仿宋" w:hAnsi="仿宋" w:eastAsia="仿宋"/>
          <w:szCs w:val="24"/>
        </w:rPr>
        <w:t>的学科特色。在化工过程强化方面取得了多项国际领先、国内首创的自主核心技术，众多科研成果成功应用到了国内多家大中型企业，创造了显著的经济、社会和环境效益。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rPr>
      </w:pPr>
      <w:r>
        <w:rPr>
          <w:rFonts w:hint="eastAsia" w:ascii="仿宋" w:hAnsi="仿宋" w:eastAsia="仿宋"/>
        </w:rPr>
        <w:t>机械工程学科相关本科专业“橡胶机械”成立于1987年，在1996年获批的“化工过程机械”硕士点中设置了“高聚物工艺原理与设备”研究方向，在此基础上逐步发展壮大。2006年申请并获批了二级学科硕士点“机械设计及理论”，2010年申请并获批一级学科硕士点“机械工程”。本学科已形成机械设计及理论、机械制造及其自动化、机械电子工程、金属材料及腐蚀防护技术4个稳定的、国内具有一定影响的学科方向，在机械可靠性研究方面到达了国际先进水平。</w:t>
      </w:r>
    </w:p>
    <w:p>
      <w:pPr>
        <w:pStyle w:val="2"/>
        <w:spacing w:line="560" w:lineRule="exact"/>
        <w:ind w:firstLine="643"/>
        <w:rPr>
          <w:rStyle w:val="20"/>
          <w:rFonts w:ascii="楷体" w:hAnsi="楷体" w:eastAsia="楷体" w:cs="方正仿宋简体"/>
          <w:b/>
          <w:color w:val="auto"/>
          <w:szCs w:val="32"/>
        </w:rPr>
      </w:pPr>
      <w:r>
        <w:rPr>
          <w:rStyle w:val="20"/>
          <w:rFonts w:hint="eastAsia" w:ascii="楷体" w:hAnsi="楷体" w:eastAsia="楷体" w:cs="方正仿宋简体"/>
          <w:b/>
          <w:color w:val="auto"/>
          <w:szCs w:val="32"/>
        </w:rPr>
        <w:t>（二）学科（领域）建设情况</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Cs w:val="24"/>
        </w:rPr>
      </w:pPr>
      <w:r>
        <w:rPr>
          <w:rFonts w:hint="eastAsia" w:ascii="仿宋" w:hAnsi="仿宋" w:eastAsia="仿宋"/>
          <w:szCs w:val="24"/>
        </w:rPr>
        <w:t>动力工程及工程热物理学科师资队伍实力雄厚。拥有长江学者特聘教授、国家级教学名师、全国模范教师、全国优秀教师、享受国务院政府特殊津贴专家、辽宁省特聘教授、辽宁省教学名师、辽宁省学科带头人、辽宁省专业带头人、辽宁省优秀青年骨干教师、辽宁省百千万人才工程人选、中国石油和化学工业联合会教学名师等高端人才。“化工静态混合反应技术及装置”科研团队被评为辽宁省高等学校（科研）创新团队，“过程装备与控制工程专业教学团队”被评为辽宁省高等学校优秀教学团队、全国石油和化工行业优秀教学团队。本学位点学术研究成果丰富。近年来获国家科技进步二等奖1项，国防科学技术奖一等奖1项，获辽宁省科技进步一等奖4项，中石化科技进步和技术发明一等奖各1项；近五年，本学位授权点共承担国家、省、市科研课题及横向课题68项，科研到账总经费达2279万元，年师均经费13.2万元；发表高水平论文300余篇，其中被SCI、EI检索150余篇；编写教材5部；授权国家发明专利32项；转化应用专利18项，创造经济效益数亿元。本学科现拥有国家实验教学示范中心、省级工程技术研究中心、省级重点实验室等多个国家及省部级教学科研平台。教学科研仪器充足，资产总值3400余万元。获省部级教学成果奖8项。</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Cs w:val="24"/>
        </w:rPr>
      </w:pPr>
      <w:bookmarkStart w:id="0" w:name="_Hlk513276628"/>
      <w:r>
        <w:rPr>
          <w:rFonts w:hint="eastAsia" w:ascii="仿宋" w:hAnsi="仿宋" w:eastAsia="仿宋"/>
          <w:szCs w:val="24"/>
        </w:rPr>
        <w:t>机械工程学科拥有“长江学者”特聘教授、长江学者和创新团队发展计划创新团队带头人、“十二五”中国机械工业科技创新领军人才等国家级人才、全国石化行业教学名师、宝钢优秀教师、辽宁省领军人才、辽宁省教学名师、辽宁省百千万人才工程“百人层次”人才、辽宁省优秀人才支持计划人选等人才</w:t>
      </w:r>
      <w:bookmarkEnd w:id="0"/>
      <w:r>
        <w:rPr>
          <w:rFonts w:hint="eastAsia" w:ascii="仿宋" w:hAnsi="仿宋" w:eastAsia="仿宋"/>
          <w:szCs w:val="24"/>
        </w:rPr>
        <w:t>。近年来，承担国家自然科学基金重点项目等6项、省部级以及企业科研课题26项。本学科的特色表现在两个方面：一是与装备制造业紧密结合，形成了机械装备可靠性和寿命预测理论与方法、高分子材料成型加工新技术与设备和化工装备机电一体化技术等具有优势和特色的研究方向；二是与学校特色和定位相适应，面向国家和地方需求，着重解决辽宁老工业基地装备制造技术领域面临的关键技术问题。</w:t>
      </w:r>
    </w:p>
    <w:p>
      <w:pPr>
        <w:pStyle w:val="2"/>
        <w:spacing w:line="560" w:lineRule="exact"/>
        <w:ind w:firstLine="643"/>
        <w:rPr>
          <w:rStyle w:val="20"/>
          <w:rFonts w:ascii="楷体" w:hAnsi="楷体" w:eastAsia="楷体" w:cs="方正仿宋简体"/>
          <w:b/>
          <w:color w:val="auto"/>
          <w:szCs w:val="32"/>
        </w:rPr>
      </w:pPr>
      <w:r>
        <w:rPr>
          <w:rStyle w:val="20"/>
          <w:rFonts w:hint="eastAsia" w:ascii="楷体" w:hAnsi="楷体" w:eastAsia="楷体" w:cs="方正仿宋简体"/>
          <w:b/>
          <w:color w:val="auto"/>
          <w:szCs w:val="32"/>
        </w:rPr>
        <w:t>（三）研究生招生、在读、毕业、学位授予及就业基本状况</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Cs w:val="24"/>
        </w:rPr>
      </w:pPr>
      <w:r>
        <w:rPr>
          <w:rFonts w:hint="eastAsia" w:ascii="仿宋" w:hAnsi="仿宋" w:eastAsia="仿宋"/>
          <w:szCs w:val="24"/>
        </w:rPr>
        <w:t>2023年度，我院共录取硕士研究生165人，初试平均分为291分，同时录取的这些研究生分布更广，众多考生来自于辽宁大学，沈阳航空航天大学，中北大学，青岛科技大学等较为知名的大学。其中，录取我校考生共计31人，占录取总数的18.8%，说明越来越多的我校本科毕业生开始报考我校研究生。</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Cs w:val="24"/>
          <w:lang w:eastAsia="zh-CN"/>
        </w:rPr>
      </w:pPr>
      <w:r>
        <w:rPr>
          <w:rFonts w:hint="eastAsia" w:ascii="仿宋" w:hAnsi="仿宋" w:eastAsia="仿宋"/>
          <w:szCs w:val="24"/>
        </w:rPr>
        <w:t>本年度</w:t>
      </w:r>
      <w:r>
        <w:rPr>
          <w:rFonts w:hint="eastAsia" w:ascii="仿宋" w:hAnsi="仿宋" w:eastAsia="仿宋"/>
          <w:szCs w:val="24"/>
          <w:lang w:val="en-US" w:eastAsia="zh-CN"/>
        </w:rPr>
        <w:t>上半年</w:t>
      </w:r>
      <w:r>
        <w:rPr>
          <w:rFonts w:hint="eastAsia" w:ascii="仿宋" w:hAnsi="仿宋" w:eastAsia="仿宋"/>
          <w:szCs w:val="24"/>
        </w:rPr>
        <w:t>，我院在读研究生共计</w:t>
      </w:r>
      <w:r>
        <w:rPr>
          <w:rFonts w:hint="eastAsia" w:ascii="仿宋" w:hAnsi="仿宋" w:eastAsia="仿宋"/>
          <w:szCs w:val="24"/>
          <w:lang w:val="en-US" w:eastAsia="zh-CN"/>
        </w:rPr>
        <w:t>515</w:t>
      </w:r>
      <w:r>
        <w:rPr>
          <w:rFonts w:hint="eastAsia" w:ascii="仿宋" w:hAnsi="仿宋" w:eastAsia="仿宋"/>
          <w:szCs w:val="24"/>
        </w:rPr>
        <w:t>人，其中</w:t>
      </w:r>
      <w:r>
        <w:rPr>
          <w:rFonts w:hint="eastAsia" w:ascii="仿宋" w:hAnsi="仿宋" w:eastAsia="仿宋"/>
          <w:szCs w:val="24"/>
          <w:lang w:val="en-US" w:eastAsia="zh-CN"/>
        </w:rPr>
        <w:t>能源动力</w:t>
      </w:r>
      <w:r>
        <w:rPr>
          <w:rFonts w:hint="eastAsia" w:ascii="仿宋" w:hAnsi="仿宋" w:eastAsia="仿宋"/>
          <w:szCs w:val="24"/>
        </w:rPr>
        <w:t>学科</w:t>
      </w:r>
      <w:r>
        <w:rPr>
          <w:rFonts w:hint="eastAsia" w:ascii="仿宋" w:hAnsi="仿宋" w:eastAsia="仿宋"/>
          <w:szCs w:val="24"/>
          <w:lang w:val="en-US" w:eastAsia="zh-CN"/>
        </w:rPr>
        <w:t>263</w:t>
      </w:r>
      <w:r>
        <w:rPr>
          <w:rFonts w:hint="eastAsia" w:ascii="仿宋" w:hAnsi="仿宋" w:eastAsia="仿宋"/>
          <w:szCs w:val="24"/>
        </w:rPr>
        <w:t>人，机械</w:t>
      </w:r>
      <w:r>
        <w:rPr>
          <w:rFonts w:hint="eastAsia" w:ascii="仿宋" w:hAnsi="仿宋" w:eastAsia="仿宋"/>
          <w:szCs w:val="24"/>
          <w:lang w:val="en-US" w:eastAsia="zh-CN"/>
        </w:rPr>
        <w:t>学科</w:t>
      </w:r>
      <w:r>
        <w:rPr>
          <w:rFonts w:hint="eastAsia" w:ascii="仿宋" w:hAnsi="仿宋" w:eastAsia="仿宋"/>
          <w:szCs w:val="24"/>
        </w:rPr>
        <w:t>2</w:t>
      </w:r>
      <w:r>
        <w:rPr>
          <w:rFonts w:hint="eastAsia" w:ascii="仿宋" w:hAnsi="仿宋" w:eastAsia="仿宋"/>
          <w:szCs w:val="24"/>
          <w:lang w:val="en-US" w:eastAsia="zh-CN"/>
        </w:rPr>
        <w:t>52</w:t>
      </w:r>
      <w:r>
        <w:rPr>
          <w:rFonts w:hint="eastAsia" w:ascii="仿宋" w:hAnsi="仿宋" w:eastAsia="仿宋"/>
          <w:szCs w:val="24"/>
        </w:rPr>
        <w:t>人</w:t>
      </w:r>
      <w:r>
        <w:rPr>
          <w:rFonts w:hint="eastAsia" w:ascii="仿宋" w:hAnsi="仿宋" w:eastAsia="仿宋"/>
          <w:szCs w:val="24"/>
          <w:lang w:eastAsia="zh-CN"/>
        </w:rPr>
        <w:t>。</w:t>
      </w:r>
      <w:r>
        <w:rPr>
          <w:rFonts w:hint="eastAsia" w:ascii="仿宋" w:hAnsi="仿宋" w:eastAsia="仿宋"/>
          <w:szCs w:val="24"/>
          <w:lang w:val="en-US" w:eastAsia="zh-CN"/>
        </w:rPr>
        <w:t>按年级统计，</w:t>
      </w:r>
      <w:r>
        <w:rPr>
          <w:rFonts w:hint="eastAsia" w:ascii="仿宋" w:hAnsi="仿宋" w:eastAsia="仿宋"/>
          <w:szCs w:val="24"/>
        </w:rPr>
        <w:t>研三</w:t>
      </w:r>
      <w:r>
        <w:rPr>
          <w:rFonts w:hint="eastAsia" w:ascii="仿宋" w:hAnsi="仿宋" w:eastAsia="仿宋"/>
          <w:szCs w:val="24"/>
          <w:lang w:val="en-US" w:eastAsia="zh-CN"/>
        </w:rPr>
        <w:t>163</w:t>
      </w:r>
      <w:r>
        <w:rPr>
          <w:rFonts w:hint="eastAsia" w:ascii="仿宋" w:hAnsi="仿宋" w:eastAsia="仿宋"/>
          <w:szCs w:val="24"/>
        </w:rPr>
        <w:t>人，研二1</w:t>
      </w:r>
      <w:r>
        <w:rPr>
          <w:rFonts w:hint="eastAsia" w:ascii="仿宋" w:hAnsi="仿宋" w:eastAsia="仿宋"/>
          <w:szCs w:val="24"/>
          <w:lang w:val="en-US" w:eastAsia="zh-CN"/>
        </w:rPr>
        <w:t>78</w:t>
      </w:r>
      <w:r>
        <w:rPr>
          <w:rFonts w:hint="eastAsia" w:ascii="仿宋" w:hAnsi="仿宋" w:eastAsia="仿宋"/>
          <w:szCs w:val="24"/>
        </w:rPr>
        <w:t>人，研一1</w:t>
      </w:r>
      <w:r>
        <w:rPr>
          <w:rFonts w:hint="eastAsia" w:ascii="仿宋" w:hAnsi="仿宋" w:eastAsia="仿宋"/>
          <w:szCs w:val="24"/>
          <w:lang w:val="en-US" w:eastAsia="zh-CN"/>
        </w:rPr>
        <w:t>74</w:t>
      </w:r>
      <w:r>
        <w:rPr>
          <w:rFonts w:hint="eastAsia" w:ascii="仿宋" w:hAnsi="仿宋" w:eastAsia="仿宋"/>
          <w:szCs w:val="24"/>
        </w:rPr>
        <w:t>人</w:t>
      </w:r>
      <w:r>
        <w:rPr>
          <w:rFonts w:hint="eastAsia" w:ascii="仿宋" w:hAnsi="仿宋" w:eastAsia="仿宋"/>
          <w:szCs w:val="24"/>
          <w:lang w:eastAsia="zh-CN"/>
        </w:rPr>
        <w:t>，</w:t>
      </w:r>
      <w:r>
        <w:rPr>
          <w:rFonts w:hint="eastAsia" w:ascii="仿宋" w:hAnsi="仿宋" w:eastAsia="仿宋"/>
          <w:szCs w:val="24"/>
          <w:lang w:val="en-US" w:eastAsia="zh-CN"/>
        </w:rPr>
        <w:t>6月份</w:t>
      </w:r>
      <w:r>
        <w:rPr>
          <w:rFonts w:hint="eastAsia" w:ascii="仿宋" w:hAnsi="仿宋" w:eastAsia="仿宋"/>
          <w:szCs w:val="24"/>
        </w:rPr>
        <w:t>毕业答辩研究生</w:t>
      </w:r>
      <w:r>
        <w:rPr>
          <w:rFonts w:hint="eastAsia" w:ascii="仿宋" w:hAnsi="仿宋" w:eastAsia="仿宋"/>
          <w:szCs w:val="24"/>
          <w:lang w:val="en-US" w:eastAsia="zh-CN"/>
        </w:rPr>
        <w:t>160</w:t>
      </w:r>
      <w:r>
        <w:rPr>
          <w:rFonts w:hint="eastAsia" w:ascii="仿宋" w:hAnsi="仿宋" w:eastAsia="仿宋"/>
          <w:szCs w:val="24"/>
        </w:rPr>
        <w:t>人</w:t>
      </w:r>
      <w:r>
        <w:rPr>
          <w:rFonts w:hint="eastAsia" w:ascii="仿宋" w:hAnsi="仿宋" w:eastAsia="仿宋"/>
          <w:szCs w:val="24"/>
          <w:lang w:eastAsia="zh-CN"/>
        </w:rPr>
        <w:t>，</w:t>
      </w:r>
      <w:r>
        <w:rPr>
          <w:rFonts w:hint="eastAsia" w:ascii="仿宋" w:hAnsi="仿宋" w:eastAsia="仿宋"/>
          <w:szCs w:val="24"/>
          <w:lang w:val="en-US" w:eastAsia="zh-CN"/>
        </w:rPr>
        <w:t>延毕2人，退学1人;</w:t>
      </w:r>
      <w:r>
        <w:rPr>
          <w:rFonts w:hint="eastAsia" w:ascii="仿宋" w:hAnsi="仿宋" w:eastAsia="仿宋"/>
          <w:szCs w:val="24"/>
        </w:rPr>
        <w:t>本年度</w:t>
      </w:r>
      <w:r>
        <w:rPr>
          <w:rFonts w:hint="eastAsia" w:ascii="仿宋" w:hAnsi="仿宋" w:eastAsia="仿宋"/>
          <w:szCs w:val="24"/>
          <w:lang w:val="en-US" w:eastAsia="zh-CN"/>
        </w:rPr>
        <w:t>下半年</w:t>
      </w:r>
      <w:r>
        <w:rPr>
          <w:rFonts w:hint="eastAsia" w:ascii="仿宋" w:hAnsi="仿宋" w:eastAsia="仿宋"/>
          <w:szCs w:val="24"/>
        </w:rPr>
        <w:t>，我院在读研究生共计</w:t>
      </w:r>
      <w:r>
        <w:rPr>
          <w:rFonts w:hint="eastAsia" w:ascii="仿宋" w:hAnsi="仿宋" w:eastAsia="仿宋"/>
          <w:szCs w:val="24"/>
          <w:lang w:val="en-US" w:eastAsia="zh-CN"/>
        </w:rPr>
        <w:t>524</w:t>
      </w:r>
      <w:r>
        <w:rPr>
          <w:rFonts w:hint="eastAsia" w:ascii="仿宋" w:hAnsi="仿宋" w:eastAsia="仿宋"/>
          <w:szCs w:val="24"/>
        </w:rPr>
        <w:t>人，其中</w:t>
      </w:r>
      <w:r>
        <w:rPr>
          <w:rFonts w:hint="eastAsia" w:ascii="仿宋" w:hAnsi="仿宋" w:eastAsia="仿宋"/>
          <w:szCs w:val="24"/>
          <w:lang w:val="en-US" w:eastAsia="zh-CN"/>
        </w:rPr>
        <w:t>能源动力</w:t>
      </w:r>
      <w:r>
        <w:rPr>
          <w:rFonts w:hint="eastAsia" w:ascii="仿宋" w:hAnsi="仿宋" w:eastAsia="仿宋"/>
          <w:szCs w:val="24"/>
        </w:rPr>
        <w:t>学科28</w:t>
      </w:r>
      <w:r>
        <w:rPr>
          <w:rFonts w:hint="eastAsia" w:ascii="仿宋" w:hAnsi="仿宋" w:eastAsia="仿宋"/>
          <w:szCs w:val="24"/>
          <w:lang w:val="en-US" w:eastAsia="zh-CN"/>
        </w:rPr>
        <w:t>2</w:t>
      </w:r>
      <w:r>
        <w:rPr>
          <w:rFonts w:hint="eastAsia" w:ascii="仿宋" w:hAnsi="仿宋" w:eastAsia="仿宋"/>
          <w:szCs w:val="24"/>
        </w:rPr>
        <w:t>人，机械</w:t>
      </w:r>
      <w:r>
        <w:rPr>
          <w:rFonts w:hint="eastAsia" w:ascii="仿宋" w:hAnsi="仿宋" w:eastAsia="仿宋"/>
          <w:szCs w:val="24"/>
          <w:lang w:val="en-US" w:eastAsia="zh-CN"/>
        </w:rPr>
        <w:t>学科241</w:t>
      </w:r>
      <w:r>
        <w:rPr>
          <w:rFonts w:hint="eastAsia" w:ascii="仿宋" w:hAnsi="仿宋" w:eastAsia="仿宋"/>
          <w:szCs w:val="24"/>
        </w:rPr>
        <w:t>人</w:t>
      </w:r>
      <w:r>
        <w:rPr>
          <w:rFonts w:hint="eastAsia" w:ascii="仿宋" w:hAnsi="仿宋" w:eastAsia="仿宋"/>
          <w:szCs w:val="24"/>
          <w:lang w:eastAsia="zh-CN"/>
        </w:rPr>
        <w:t>。</w:t>
      </w:r>
      <w:r>
        <w:rPr>
          <w:rFonts w:hint="eastAsia" w:ascii="仿宋" w:hAnsi="仿宋" w:eastAsia="仿宋"/>
          <w:szCs w:val="24"/>
          <w:lang w:val="en-US" w:eastAsia="zh-CN"/>
        </w:rPr>
        <w:t>按年级统计，</w:t>
      </w:r>
      <w:r>
        <w:rPr>
          <w:rFonts w:hint="eastAsia" w:ascii="仿宋" w:hAnsi="仿宋" w:eastAsia="仿宋"/>
          <w:szCs w:val="24"/>
        </w:rPr>
        <w:t>研三</w:t>
      </w:r>
      <w:r>
        <w:rPr>
          <w:rFonts w:hint="eastAsia" w:ascii="仿宋" w:hAnsi="仿宋" w:eastAsia="仿宋"/>
          <w:szCs w:val="24"/>
          <w:lang w:val="en-US" w:eastAsia="zh-CN"/>
        </w:rPr>
        <w:t>178</w:t>
      </w:r>
      <w:r>
        <w:rPr>
          <w:rFonts w:hint="eastAsia" w:ascii="仿宋" w:hAnsi="仿宋" w:eastAsia="仿宋"/>
          <w:szCs w:val="24"/>
        </w:rPr>
        <w:t>人，研二</w:t>
      </w:r>
      <w:r>
        <w:rPr>
          <w:rFonts w:hint="eastAsia" w:ascii="仿宋" w:hAnsi="仿宋" w:eastAsia="仿宋"/>
          <w:szCs w:val="24"/>
          <w:lang w:val="en-US" w:eastAsia="zh-CN"/>
        </w:rPr>
        <w:t>174</w:t>
      </w:r>
      <w:r>
        <w:rPr>
          <w:rFonts w:hint="eastAsia" w:ascii="仿宋" w:hAnsi="仿宋" w:eastAsia="仿宋"/>
          <w:szCs w:val="24"/>
        </w:rPr>
        <w:t>人，研一17</w:t>
      </w:r>
      <w:r>
        <w:rPr>
          <w:rFonts w:hint="eastAsia" w:ascii="仿宋" w:hAnsi="仿宋" w:eastAsia="仿宋"/>
          <w:szCs w:val="24"/>
          <w:lang w:val="en-US" w:eastAsia="zh-CN"/>
        </w:rPr>
        <w:t>1</w:t>
      </w:r>
      <w:r>
        <w:rPr>
          <w:rFonts w:hint="eastAsia" w:ascii="仿宋" w:hAnsi="仿宋" w:eastAsia="仿宋"/>
          <w:szCs w:val="24"/>
        </w:rPr>
        <w:t>人</w:t>
      </w:r>
      <w:r>
        <w:rPr>
          <w:rFonts w:hint="eastAsia" w:ascii="仿宋" w:hAnsi="仿宋" w:eastAsia="仿宋"/>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olor w:val="000000" w:themeColor="text1"/>
          <w:szCs w:val="24"/>
        </w:rPr>
      </w:pPr>
      <w:r>
        <w:rPr>
          <w:rFonts w:hint="eastAsia" w:ascii="仿宋" w:hAnsi="仿宋" w:eastAsia="仿宋"/>
          <w:szCs w:val="24"/>
        </w:rPr>
        <w:t>本年度毕业研究生</w:t>
      </w:r>
      <w:r>
        <w:rPr>
          <w:rFonts w:hint="eastAsia" w:ascii="仿宋" w:hAnsi="仿宋" w:eastAsia="仿宋"/>
          <w:szCs w:val="24"/>
          <w:lang w:val="en-US" w:eastAsia="zh-CN"/>
        </w:rPr>
        <w:t>160</w:t>
      </w:r>
      <w:r>
        <w:rPr>
          <w:rFonts w:hint="eastAsia" w:ascii="仿宋" w:hAnsi="仿宋" w:eastAsia="仿宋"/>
          <w:szCs w:val="24"/>
        </w:rPr>
        <w:t>人，</w:t>
      </w:r>
      <w:r>
        <w:rPr>
          <w:rFonts w:hint="eastAsia" w:ascii="仿宋" w:hAnsi="仿宋" w:eastAsia="仿宋"/>
          <w:szCs w:val="24"/>
          <w:lang w:val="en-US" w:eastAsia="zh-CN"/>
        </w:rPr>
        <w:t>能源动力</w:t>
      </w:r>
      <w:r>
        <w:rPr>
          <w:rFonts w:hint="eastAsia" w:ascii="仿宋" w:hAnsi="仿宋" w:eastAsia="仿宋"/>
          <w:szCs w:val="24"/>
        </w:rPr>
        <w:t>学科</w:t>
      </w:r>
      <w:r>
        <w:rPr>
          <w:rFonts w:hint="eastAsia" w:ascii="仿宋" w:hAnsi="仿宋" w:eastAsia="仿宋"/>
          <w:szCs w:val="24"/>
          <w:lang w:val="en-US" w:eastAsia="zh-CN"/>
        </w:rPr>
        <w:t>73</w:t>
      </w:r>
      <w:r>
        <w:rPr>
          <w:rFonts w:hint="eastAsia" w:ascii="仿宋" w:hAnsi="仿宋" w:eastAsia="仿宋"/>
          <w:szCs w:val="24"/>
        </w:rPr>
        <w:t>人，机械</w:t>
      </w:r>
      <w:bookmarkStart w:id="1" w:name="_GoBack"/>
      <w:bookmarkEnd w:id="1"/>
      <w:r>
        <w:rPr>
          <w:rFonts w:hint="eastAsia" w:ascii="仿宋" w:hAnsi="仿宋" w:eastAsia="仿宋"/>
          <w:szCs w:val="24"/>
        </w:rPr>
        <w:t>学科</w:t>
      </w:r>
      <w:r>
        <w:rPr>
          <w:rFonts w:hint="eastAsia" w:ascii="仿宋" w:hAnsi="仿宋" w:eastAsia="仿宋"/>
          <w:szCs w:val="24"/>
          <w:lang w:val="en-US" w:eastAsia="zh-CN"/>
        </w:rPr>
        <w:t>87</w:t>
      </w:r>
      <w:r>
        <w:rPr>
          <w:rFonts w:hint="eastAsia" w:ascii="仿宋" w:hAnsi="仿宋" w:eastAsia="仿宋"/>
          <w:szCs w:val="24"/>
        </w:rPr>
        <w:t>人，全部获得硕士学位，</w:t>
      </w:r>
      <w:r>
        <w:rPr>
          <w:rFonts w:hint="eastAsia" w:ascii="仿宋" w:hAnsi="仿宋" w:eastAsia="仿宋"/>
          <w:szCs w:val="24"/>
          <w:lang w:val="en-US" w:eastAsia="zh-CN"/>
        </w:rPr>
        <w:t>全部</w:t>
      </w:r>
      <w:r>
        <w:rPr>
          <w:rFonts w:hint="eastAsia" w:ascii="仿宋" w:hAnsi="仿宋" w:eastAsia="仿宋"/>
          <w:szCs w:val="24"/>
        </w:rPr>
        <w:t>六月份毕业。所有毕业生全部就业（就业率100%），其中攻读博士学位</w:t>
      </w:r>
      <w:r>
        <w:rPr>
          <w:rFonts w:hint="eastAsia" w:ascii="仿宋" w:hAnsi="仿宋" w:eastAsia="仿宋"/>
          <w:szCs w:val="24"/>
          <w:lang w:val="en-US" w:eastAsia="zh-CN"/>
        </w:rPr>
        <w:t>6</w:t>
      </w:r>
      <w:r>
        <w:rPr>
          <w:rFonts w:hint="eastAsia" w:ascii="仿宋" w:hAnsi="仿宋" w:eastAsia="仿宋"/>
          <w:szCs w:val="24"/>
        </w:rPr>
        <w:t>人，高校及事业单位就业</w:t>
      </w:r>
      <w:r>
        <w:rPr>
          <w:rFonts w:hint="eastAsia" w:ascii="仿宋" w:hAnsi="仿宋" w:eastAsia="仿宋"/>
          <w:szCs w:val="24"/>
          <w:lang w:val="en-US" w:eastAsia="zh-CN"/>
        </w:rPr>
        <w:t>19</w:t>
      </w:r>
      <w:r>
        <w:rPr>
          <w:rFonts w:hint="eastAsia" w:ascii="仿宋" w:hAnsi="仿宋" w:eastAsia="仿宋"/>
          <w:szCs w:val="24"/>
        </w:rPr>
        <w:t>人，企业就业</w:t>
      </w:r>
      <w:r>
        <w:rPr>
          <w:rFonts w:hint="eastAsia" w:ascii="仿宋" w:hAnsi="仿宋" w:eastAsia="仿宋"/>
          <w:szCs w:val="24"/>
          <w:lang w:val="en-US" w:eastAsia="zh-CN"/>
        </w:rPr>
        <w:t>135</w:t>
      </w:r>
      <w:r>
        <w:rPr>
          <w:rFonts w:hint="eastAsia" w:ascii="仿宋" w:hAnsi="仿宋" w:eastAsia="仿宋"/>
          <w:szCs w:val="24"/>
        </w:rPr>
        <w:t>人。</w:t>
      </w:r>
    </w:p>
    <w:p>
      <w:pPr>
        <w:pStyle w:val="2"/>
        <w:spacing w:line="560" w:lineRule="exact"/>
        <w:ind w:firstLine="643"/>
        <w:rPr>
          <w:rStyle w:val="20"/>
          <w:rFonts w:ascii="楷体" w:hAnsi="楷体" w:eastAsia="楷体" w:cs="方正仿宋简体"/>
          <w:b/>
          <w:color w:val="auto"/>
          <w:szCs w:val="32"/>
        </w:rPr>
      </w:pPr>
      <w:r>
        <w:rPr>
          <w:rStyle w:val="20"/>
          <w:rFonts w:hint="eastAsia" w:ascii="楷体" w:hAnsi="楷体" w:eastAsia="楷体" w:cs="方正仿宋简体"/>
          <w:b/>
          <w:color w:val="auto"/>
          <w:szCs w:val="32"/>
        </w:rPr>
        <w:t>（四）研究生导师状况（总体规模、队伍结构）</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Cs w:val="24"/>
        </w:rPr>
      </w:pPr>
      <w:r>
        <w:rPr>
          <w:rFonts w:hint="eastAsia" w:ascii="仿宋" w:hAnsi="仿宋" w:eastAsia="仿宋"/>
          <w:szCs w:val="24"/>
        </w:rPr>
        <w:t>本学院现有硕士导师51人，35岁及以下导师7人，36岁至45岁导师26人，46岁至55岁导师14人，56岁以上导师4人，全部具有博士学位。导师的职称结构较为合理，其中教授13人，副教授24人，讲师14人。我院直接指导研究生的生师比为1:3，意味着每名导师每年平均指导3名研究生，师生比比较合理。</w:t>
      </w:r>
    </w:p>
    <w:p>
      <w:pPr>
        <w:pStyle w:val="2"/>
        <w:spacing w:line="560" w:lineRule="exact"/>
        <w:rPr>
          <w:rStyle w:val="20"/>
          <w:rFonts w:ascii="黑体" w:hAnsi="黑体" w:eastAsia="黑体" w:cs="方正仿宋简体"/>
          <w:color w:val="auto"/>
          <w:szCs w:val="32"/>
        </w:rPr>
      </w:pPr>
      <w:r>
        <w:rPr>
          <w:rStyle w:val="20"/>
          <w:rFonts w:hint="eastAsia" w:ascii="黑体" w:hAnsi="黑体" w:eastAsia="黑体" w:cs="方正仿宋简体"/>
          <w:color w:val="auto"/>
          <w:szCs w:val="32"/>
        </w:rPr>
        <w:t>二、研究生党建与思想政治教育工作</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Cs w:val="24"/>
        </w:rPr>
      </w:pPr>
      <w:r>
        <w:rPr>
          <w:rFonts w:hint="eastAsia" w:ascii="仿宋" w:hAnsi="仿宋" w:eastAsia="仿宋"/>
          <w:szCs w:val="24"/>
        </w:rPr>
        <w:t>我院在校党委的亲切关怀下，以习近平新时代中国特色社会主义思想为指导，以全心全意为同学们服务为宗旨，全面开展各项工作，积极维护机械与动力工程学院研究生的利益，努力提升机械与动力工程学院的吸引力、凝聚力和战斗力，在组织建设、人才培养、活动建设和服务建设等方面取得了显著成果。</w:t>
      </w:r>
    </w:p>
    <w:p>
      <w:pPr>
        <w:pStyle w:val="2"/>
        <w:spacing w:line="560" w:lineRule="exact"/>
        <w:ind w:firstLine="643"/>
        <w:rPr>
          <w:rStyle w:val="20"/>
          <w:rFonts w:ascii="楷体" w:hAnsi="楷体" w:eastAsia="楷体" w:cs="方正仿宋简体"/>
          <w:b/>
          <w:color w:val="auto"/>
          <w:szCs w:val="32"/>
        </w:rPr>
      </w:pPr>
      <w:r>
        <w:rPr>
          <w:rStyle w:val="20"/>
          <w:rFonts w:hint="eastAsia" w:ascii="楷体" w:hAnsi="楷体" w:eastAsia="楷体" w:cs="方正仿宋简体"/>
          <w:b/>
          <w:color w:val="auto"/>
          <w:szCs w:val="32"/>
        </w:rPr>
        <w:t>（一）思想政治教育队伍建设</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Cs w:val="24"/>
        </w:rPr>
      </w:pPr>
      <w:r>
        <w:rPr>
          <w:rFonts w:hint="eastAsia" w:ascii="仿宋" w:hAnsi="仿宋" w:eastAsia="仿宋"/>
          <w:szCs w:val="24"/>
        </w:rPr>
        <w:t>我院现有研究生党员115名，其中正式党员57名，预备党员49名，成立了两个研究生党支部，支部书记分别由院党总支副书记和院团委书记担任，各支部的组织委员、宣传委员由党龄较长、能力突出的正式研究生党员担任。</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Cs w:val="24"/>
        </w:rPr>
      </w:pPr>
      <w:r>
        <w:rPr>
          <w:rFonts w:hint="eastAsia" w:ascii="仿宋" w:hAnsi="仿宋" w:eastAsia="仿宋"/>
          <w:szCs w:val="24"/>
        </w:rPr>
        <w:t>为了加强对研究生的思想政治教育工作，我院还为研究生配备了2名专职辅导员，同事还有2名专职组织员负责全院包括研究生的党务及思想政治教育工作。</w:t>
      </w:r>
    </w:p>
    <w:p>
      <w:pPr>
        <w:pStyle w:val="2"/>
        <w:spacing w:line="560" w:lineRule="exact"/>
        <w:ind w:firstLine="643"/>
        <w:rPr>
          <w:rStyle w:val="20"/>
          <w:rFonts w:ascii="楷体" w:hAnsi="楷体" w:eastAsia="楷体" w:cs="方正仿宋简体"/>
          <w:b/>
          <w:color w:val="auto"/>
          <w:szCs w:val="32"/>
        </w:rPr>
      </w:pPr>
      <w:r>
        <w:rPr>
          <w:rStyle w:val="20"/>
          <w:rFonts w:hint="eastAsia" w:ascii="楷体" w:hAnsi="楷体" w:eastAsia="楷体" w:cs="方正仿宋简体"/>
          <w:b/>
          <w:color w:val="auto"/>
          <w:szCs w:val="32"/>
        </w:rPr>
        <w:t>（二）理想信念和社会主义核心价值观教育</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Cs w:val="24"/>
        </w:rPr>
      </w:pPr>
      <w:r>
        <w:rPr>
          <w:rFonts w:hint="eastAsia" w:ascii="仿宋" w:hAnsi="仿宋" w:eastAsia="仿宋"/>
          <w:szCs w:val="24"/>
        </w:rPr>
        <w:t>为了加强对研究生理想信念和社会主义核心价值观教育，本年度我院开展了“学党史、强信念、跟党走”学习教育活动。学院的分团委书记和辅导员带领研究生学生会的同学们前往铁西区永和社区参加社区革命文化互动。目的就是为了引导全研究生院广大团员青年了解党的光辉历史，感悟党的初心使命，领会党的创新理论，体认党的精神谱系，传承党的红色基因。通过本次活动，同学们重温了党的百年荣光，更加深刻的认识到党团结带领人民不懈奋斗的和光辉历程，更加深刻的认识到党做出的伟大贡献。研究生们深刻意识到，新时代的中国青年要积极的学习理论知识，不忘初心跟党走，从百年征程中汲取伟大力量，把青春献给党，做一个国家富强、民族复兴的开拓者。</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Style w:val="20"/>
          <w:rFonts w:ascii="楷体" w:hAnsi="楷体" w:eastAsia="楷体" w:cs="方正仿宋简体"/>
          <w:b/>
          <w:color w:val="auto"/>
          <w:szCs w:val="32"/>
        </w:rPr>
      </w:pPr>
      <w:r>
        <w:rPr>
          <w:rStyle w:val="20"/>
          <w:rFonts w:hint="eastAsia" w:ascii="楷体" w:hAnsi="楷体" w:eastAsia="楷体" w:cs="方正仿宋简体"/>
          <w:b/>
          <w:color w:val="auto"/>
          <w:szCs w:val="32"/>
        </w:rPr>
        <w:t>（三）校园文化建设</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b/>
          <w:bCs/>
          <w:szCs w:val="24"/>
        </w:rPr>
      </w:pPr>
      <w:r>
        <w:rPr>
          <w:rFonts w:hint="eastAsia" w:ascii="仿宋" w:hAnsi="仿宋" w:eastAsia="仿宋"/>
          <w:b/>
          <w:bCs/>
          <w:szCs w:val="24"/>
        </w:rPr>
        <w:t>1.经验分享交流会</w:t>
      </w:r>
    </w:p>
    <w:p>
      <w:pPr>
        <w:keepNext w:val="0"/>
        <w:keepLines w:val="0"/>
        <w:pageBreakBefore w:val="0"/>
        <w:widowControl/>
        <w:kinsoku/>
        <w:wordWrap/>
        <w:overflowPunct/>
        <w:topLinePunct w:val="0"/>
        <w:autoSpaceDE/>
        <w:autoSpaceDN/>
        <w:bidi w:val="0"/>
        <w:adjustRightInd/>
        <w:snapToGrid/>
        <w:spacing w:after="192" w:line="560" w:lineRule="exact"/>
        <w:ind w:firstLine="640" w:firstLineChars="200"/>
        <w:textAlignment w:val="auto"/>
        <w:rPr>
          <w:rFonts w:hint="eastAsia" w:ascii="仿宋" w:hAnsi="仿宋" w:eastAsia="仿宋" w:cs="Times New Roman"/>
          <w:color w:val="000000"/>
          <w:kern w:val="2"/>
          <w:sz w:val="32"/>
          <w:szCs w:val="24"/>
          <w:lang w:val="en-US" w:eastAsia="zh-CN" w:bidi="ar-SA"/>
        </w:rPr>
      </w:pPr>
      <w:r>
        <w:rPr>
          <w:rFonts w:hint="eastAsia" w:ascii="仿宋" w:hAnsi="仿宋" w:eastAsia="仿宋" w:cs="Times New Roman"/>
          <w:color w:val="000000"/>
          <w:kern w:val="2"/>
          <w:sz w:val="32"/>
          <w:szCs w:val="24"/>
          <w:lang w:val="en-US" w:eastAsia="zh-CN" w:bidi="ar-SA"/>
        </w:rPr>
        <w:t>为指导大一新生更好地备战“挑战杯”，丰富新生们的参赛经验，提高参赛学生的自信心，我院召开大学生“挑战杯”宣讲会，研究生会组织研究生宣讲，研究生学长将自己的竞赛经验进行分享，着重讲解明确项目时间安排，人员组成，项目的分配，相关书籍材料的准备，填写项目计划书等方面的注意事项。建议参赛者要自主学习UG、CAD等建模软件，方便评委老师了解参赛同学的设计。要在平时多阅读一些与自己专业相关的论文，了解本专业的前沿知识等。</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b/>
          <w:bCs/>
          <w:szCs w:val="24"/>
        </w:rPr>
      </w:pPr>
      <w:r>
        <w:rPr>
          <w:rFonts w:hint="eastAsia" w:ascii="仿宋" w:hAnsi="仿宋" w:eastAsia="仿宋"/>
          <w:b/>
          <w:bCs/>
          <w:szCs w:val="24"/>
        </w:rPr>
        <w:t>2.学党史活动</w:t>
      </w:r>
    </w:p>
    <w:p>
      <w:pPr>
        <w:keepNext w:val="0"/>
        <w:keepLines w:val="0"/>
        <w:pageBreakBefore w:val="0"/>
        <w:widowControl/>
        <w:kinsoku/>
        <w:wordWrap/>
        <w:overflowPunct/>
        <w:topLinePunct w:val="0"/>
        <w:autoSpaceDE/>
        <w:autoSpaceDN/>
        <w:bidi w:val="0"/>
        <w:adjustRightInd/>
        <w:snapToGrid w:val="0"/>
        <w:spacing w:after="192" w:line="560" w:lineRule="exact"/>
        <w:ind w:firstLine="640" w:firstLineChars="200"/>
        <w:textAlignment w:val="auto"/>
        <w:rPr>
          <w:rFonts w:hint="eastAsia" w:ascii="仿宋" w:hAnsi="仿宋" w:eastAsia="仿宋" w:cs="Times New Roman"/>
          <w:color w:val="000000"/>
          <w:kern w:val="2"/>
          <w:sz w:val="32"/>
          <w:szCs w:val="24"/>
          <w:lang w:val="en-US" w:eastAsia="zh-CN" w:bidi="ar-SA"/>
        </w:rPr>
      </w:pPr>
      <w:r>
        <w:rPr>
          <w:rFonts w:hint="eastAsia" w:ascii="仿宋" w:hAnsi="仿宋" w:eastAsia="仿宋" w:cs="Times New Roman"/>
          <w:color w:val="000000"/>
          <w:kern w:val="2"/>
          <w:sz w:val="32"/>
          <w:szCs w:val="24"/>
          <w:lang w:val="en-US" w:eastAsia="zh-CN" w:bidi="ar-SA"/>
        </w:rPr>
        <w:t>我院研究生会召开了团支书全体大会，与各班团支书深入解读校团委“学党史、强信念、跟党走”学习教育工作方案，为各班团干部指明工作方向，提出工作建议及要求。而后，以机械与动力工程学院团支部为代表的各团支部结合支部实际情况，开展形式多样的党史学习活动。活动前期，院团支部以个人学习与集体学习的形式，举办了相关活动。</w:t>
      </w:r>
    </w:p>
    <w:p>
      <w:pPr>
        <w:pStyle w:val="2"/>
        <w:keepNext w:val="0"/>
        <w:keepLines w:val="0"/>
        <w:pageBreakBefore w:val="0"/>
        <w:kinsoku/>
        <w:wordWrap/>
        <w:overflowPunct/>
        <w:topLinePunct w:val="0"/>
        <w:autoSpaceDE/>
        <w:autoSpaceDN/>
        <w:bidi w:val="0"/>
        <w:adjustRightInd/>
        <w:snapToGrid w:val="0"/>
        <w:spacing w:line="560" w:lineRule="exact"/>
        <w:ind w:firstLine="643"/>
        <w:textAlignment w:val="auto"/>
        <w:rPr>
          <w:rStyle w:val="20"/>
          <w:rFonts w:ascii="楷体" w:hAnsi="楷体" w:eastAsia="楷体" w:cs="方正仿宋简体"/>
          <w:b/>
          <w:color w:val="auto"/>
          <w:szCs w:val="32"/>
        </w:rPr>
      </w:pPr>
      <w:r>
        <w:rPr>
          <w:rStyle w:val="20"/>
          <w:rFonts w:hint="eastAsia" w:ascii="楷体" w:hAnsi="楷体" w:eastAsia="楷体" w:cs="方正仿宋简体"/>
          <w:b/>
          <w:color w:val="auto"/>
          <w:szCs w:val="32"/>
        </w:rPr>
        <w:t>（四）日常管理服务工作</w:t>
      </w:r>
    </w:p>
    <w:p>
      <w:pPr>
        <w:keepNext w:val="0"/>
        <w:keepLines w:val="0"/>
        <w:pageBreakBefore w:val="0"/>
        <w:widowControl/>
        <w:kinsoku/>
        <w:wordWrap/>
        <w:overflowPunct/>
        <w:topLinePunct w:val="0"/>
        <w:autoSpaceDE/>
        <w:autoSpaceDN/>
        <w:bidi w:val="0"/>
        <w:adjustRightInd/>
        <w:snapToGrid/>
        <w:spacing w:after="192" w:line="560" w:lineRule="exact"/>
        <w:ind w:firstLine="640" w:firstLineChars="200"/>
        <w:textAlignment w:val="auto"/>
        <w:rPr>
          <w:rFonts w:hint="eastAsia" w:ascii="仿宋" w:hAnsi="仿宋" w:eastAsia="仿宋" w:cs="Times New Roman"/>
          <w:color w:val="000000"/>
          <w:kern w:val="2"/>
          <w:sz w:val="32"/>
          <w:szCs w:val="24"/>
          <w:lang w:val="en-US" w:eastAsia="zh-CN" w:bidi="ar-SA"/>
        </w:rPr>
      </w:pPr>
      <w:r>
        <w:rPr>
          <w:rFonts w:hint="eastAsia" w:ascii="仿宋" w:hAnsi="仿宋" w:eastAsia="仿宋" w:cs="Times New Roman"/>
          <w:color w:val="000000"/>
          <w:kern w:val="2"/>
          <w:sz w:val="32"/>
          <w:szCs w:val="24"/>
          <w:lang w:val="en-US" w:eastAsia="zh-CN" w:bidi="ar-SA"/>
        </w:rPr>
        <w:t>我院的研究生日常管理服务工作主要从以下几个方面展开：</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b/>
          <w:bCs/>
          <w:szCs w:val="24"/>
        </w:rPr>
      </w:pPr>
      <w:r>
        <w:rPr>
          <w:rFonts w:hint="eastAsia" w:ascii="仿宋" w:hAnsi="仿宋" w:eastAsia="仿宋"/>
          <w:b/>
          <w:bCs/>
          <w:szCs w:val="24"/>
        </w:rPr>
        <w:t>1</w:t>
      </w:r>
      <w:r>
        <w:rPr>
          <w:rFonts w:hint="eastAsia" w:ascii="仿宋" w:hAnsi="仿宋" w:eastAsia="仿宋"/>
          <w:b/>
          <w:bCs/>
          <w:szCs w:val="24"/>
          <w:lang w:eastAsia="zh-CN"/>
        </w:rPr>
        <w:t>.</w:t>
      </w:r>
      <w:r>
        <w:rPr>
          <w:rFonts w:hint="eastAsia" w:ascii="仿宋" w:hAnsi="仿宋" w:eastAsia="仿宋"/>
          <w:b/>
          <w:bCs/>
          <w:szCs w:val="24"/>
        </w:rPr>
        <w:t>思想政治教育管理工作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color w:val="000000"/>
          <w:kern w:val="2"/>
          <w:sz w:val="32"/>
          <w:szCs w:val="24"/>
          <w:lang w:val="en-US" w:eastAsia="zh-CN" w:bidi="ar-SA"/>
        </w:rPr>
      </w:pPr>
      <w:r>
        <w:rPr>
          <w:rFonts w:hint="eastAsia" w:ascii="仿宋" w:hAnsi="仿宋" w:eastAsia="仿宋" w:cs="Times New Roman"/>
          <w:color w:val="000000"/>
          <w:kern w:val="2"/>
          <w:sz w:val="32"/>
          <w:szCs w:val="24"/>
          <w:lang w:val="en-US" w:eastAsia="zh-CN" w:bidi="ar-SA"/>
        </w:rPr>
        <w:t>学院定期开展研究生思想政治理论学习，主题教育，掌握研究生思想状况，尤其加强对特殊群体研究生的重视(主要是家庭贫困、单亲、思想偏激、或有异常举动的学生)，并且定期的深入学生群体中了解学生思想状况。</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b/>
          <w:bCs/>
        </w:rPr>
      </w:pPr>
      <w:r>
        <w:rPr>
          <w:rFonts w:hint="eastAsia" w:ascii="仿宋" w:hAnsi="仿宋" w:eastAsia="仿宋"/>
          <w:b/>
          <w:bCs/>
        </w:rPr>
        <w:t>2</w:t>
      </w:r>
      <w:r>
        <w:rPr>
          <w:rFonts w:hint="eastAsia" w:ascii="仿宋" w:hAnsi="仿宋" w:eastAsia="仿宋"/>
          <w:b/>
          <w:bCs/>
          <w:lang w:eastAsia="zh-CN"/>
        </w:rPr>
        <w:t>.</w:t>
      </w:r>
      <w:r>
        <w:rPr>
          <w:rFonts w:hint="eastAsia" w:ascii="仿宋" w:hAnsi="仿宋" w:eastAsia="仿宋"/>
          <w:b/>
          <w:bCs/>
        </w:rPr>
        <w:t>研究生学生干部队伍建设工作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color w:val="000000"/>
          <w:kern w:val="2"/>
          <w:sz w:val="32"/>
          <w:szCs w:val="24"/>
          <w:lang w:val="en-US" w:eastAsia="zh-CN" w:bidi="ar-SA"/>
        </w:rPr>
      </w:pPr>
      <w:r>
        <w:rPr>
          <w:rFonts w:hint="eastAsia" w:ascii="仿宋" w:hAnsi="仿宋" w:eastAsia="仿宋" w:cs="Times New Roman"/>
          <w:color w:val="000000"/>
          <w:kern w:val="2"/>
          <w:sz w:val="32"/>
          <w:szCs w:val="24"/>
          <w:lang w:val="en-US" w:eastAsia="zh-CN" w:bidi="ar-SA"/>
        </w:rPr>
        <w:t>做好研究生班级学生干部的选拔和配备工作，院系研究生会的学生干部管理与培养，做好班级学生干部与研究生会之间的联系、协调，及时了解学生干部的工作能力及工作作风建设情况。</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b/>
          <w:bCs/>
        </w:rPr>
      </w:pPr>
      <w:r>
        <w:rPr>
          <w:rFonts w:hint="eastAsia" w:ascii="仿宋" w:hAnsi="仿宋" w:eastAsia="仿宋"/>
          <w:b/>
          <w:bCs/>
        </w:rPr>
        <w:t>3</w:t>
      </w:r>
      <w:r>
        <w:rPr>
          <w:rFonts w:hint="eastAsia" w:ascii="仿宋" w:hAnsi="仿宋" w:eastAsia="仿宋"/>
          <w:b/>
          <w:bCs/>
          <w:lang w:eastAsia="zh-CN"/>
        </w:rPr>
        <w:t>.</w:t>
      </w:r>
      <w:r>
        <w:rPr>
          <w:rFonts w:hint="eastAsia" w:ascii="仿宋" w:hAnsi="仿宋" w:eastAsia="仿宋"/>
          <w:b/>
          <w:bCs/>
        </w:rPr>
        <w:t>研究生的安全稳定工作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color w:val="000000"/>
          <w:kern w:val="2"/>
          <w:sz w:val="32"/>
          <w:szCs w:val="24"/>
          <w:lang w:val="en-US" w:eastAsia="zh-CN" w:bidi="ar-SA"/>
        </w:rPr>
      </w:pPr>
      <w:r>
        <w:rPr>
          <w:rFonts w:hint="eastAsia" w:ascii="仿宋" w:hAnsi="仿宋" w:eastAsia="仿宋" w:cs="Times New Roman"/>
          <w:color w:val="000000"/>
          <w:kern w:val="2"/>
          <w:sz w:val="32"/>
          <w:szCs w:val="24"/>
          <w:lang w:val="en-US" w:eastAsia="zh-CN" w:bidi="ar-SA"/>
        </w:rPr>
        <w:t>定期做好研究生安全教育工作，学生学期注册工作，学生的请、销假管理，及时了解本学院研究生日常生活中是否存在安全隐患，校外实习学生的安全教育，完善本学院的安全应急对策及方案。</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b/>
          <w:bCs/>
        </w:rPr>
      </w:pPr>
      <w:r>
        <w:rPr>
          <w:rFonts w:hint="eastAsia" w:ascii="仿宋" w:hAnsi="仿宋" w:eastAsia="仿宋"/>
          <w:b/>
          <w:bCs/>
        </w:rPr>
        <w:t>4</w:t>
      </w:r>
      <w:r>
        <w:rPr>
          <w:rFonts w:hint="eastAsia" w:ascii="仿宋" w:hAnsi="仿宋" w:eastAsia="仿宋"/>
          <w:b/>
          <w:bCs/>
          <w:lang w:eastAsia="zh-CN"/>
        </w:rPr>
        <w:t>.</w:t>
      </w:r>
      <w:r>
        <w:rPr>
          <w:rFonts w:hint="eastAsia" w:ascii="仿宋" w:hAnsi="仿宋" w:eastAsia="仿宋"/>
          <w:b/>
          <w:bCs/>
        </w:rPr>
        <w:t>迎新工作及就业工作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color w:val="000000"/>
          <w:kern w:val="2"/>
          <w:sz w:val="32"/>
          <w:szCs w:val="24"/>
          <w:lang w:val="en-US" w:eastAsia="zh-CN" w:bidi="ar-SA"/>
        </w:rPr>
      </w:pPr>
      <w:r>
        <w:rPr>
          <w:rFonts w:hint="eastAsia" w:ascii="仿宋" w:hAnsi="仿宋" w:eastAsia="仿宋" w:cs="Times New Roman"/>
          <w:color w:val="000000"/>
          <w:kern w:val="2"/>
          <w:sz w:val="32"/>
          <w:szCs w:val="24"/>
          <w:lang w:val="en-US" w:eastAsia="zh-CN" w:bidi="ar-SA"/>
        </w:rPr>
        <w:t>入学报到包括入学手续办理、入学教育管理、新生体检、助学贷款办理等。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 w:hAnsi="仿宋" w:eastAsia="仿宋"/>
        </w:rPr>
      </w:pPr>
      <w:r>
        <w:rPr>
          <w:rFonts w:hint="eastAsia" w:ascii="仿宋" w:hAnsi="仿宋" w:eastAsia="仿宋" w:cs="Times New Roman"/>
          <w:color w:val="000000"/>
          <w:kern w:val="2"/>
          <w:sz w:val="32"/>
          <w:szCs w:val="24"/>
          <w:lang w:val="en-US" w:eastAsia="zh-CN" w:bidi="ar-SA"/>
        </w:rPr>
        <w:t>研究生就业工作包括实时了解本学院研究生就业情况，就业率和就业质量，就业帮扶情况，存在的问题及建议。</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b/>
          <w:bCs/>
        </w:rPr>
      </w:pPr>
      <w:r>
        <w:rPr>
          <w:rFonts w:hint="eastAsia" w:ascii="仿宋" w:hAnsi="仿宋" w:eastAsia="仿宋"/>
          <w:b/>
          <w:bCs/>
        </w:rPr>
        <w:t>5</w:t>
      </w:r>
      <w:r>
        <w:rPr>
          <w:rFonts w:hint="eastAsia" w:ascii="仿宋" w:hAnsi="仿宋" w:eastAsia="仿宋"/>
          <w:b/>
          <w:bCs/>
          <w:lang w:eastAsia="zh-CN"/>
        </w:rPr>
        <w:t>.</w:t>
      </w:r>
      <w:r>
        <w:rPr>
          <w:rFonts w:hint="eastAsia" w:ascii="仿宋" w:hAnsi="仿宋" w:eastAsia="仿宋"/>
          <w:b/>
          <w:bCs/>
        </w:rPr>
        <w:t>学术科技、文体活动的开展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 w:hAnsi="仿宋" w:eastAsia="仿宋"/>
        </w:rPr>
      </w:pPr>
      <w:r>
        <w:rPr>
          <w:rFonts w:hint="eastAsia" w:ascii="仿宋" w:hAnsi="仿宋" w:eastAsia="仿宋" w:cs="Times New Roman"/>
          <w:color w:val="000000"/>
          <w:kern w:val="2"/>
          <w:sz w:val="32"/>
          <w:szCs w:val="24"/>
          <w:lang w:val="en-US" w:eastAsia="zh-CN" w:bidi="ar-SA"/>
        </w:rPr>
        <w:t>组织本学院研究生积极参与学校科技活动、“创新、前沿”学术论坛、学术交流年会等，及时了解、公布并奖励本学院研究生的科研成果及科技活动获奖情况;组织研究生参加各类文体活动。</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b/>
          <w:bCs/>
        </w:rPr>
      </w:pPr>
      <w:r>
        <w:rPr>
          <w:rFonts w:hint="eastAsia" w:ascii="仿宋" w:hAnsi="仿宋" w:eastAsia="仿宋"/>
          <w:b/>
          <w:bCs/>
        </w:rPr>
        <w:t>6</w:t>
      </w:r>
      <w:r>
        <w:rPr>
          <w:rFonts w:hint="eastAsia" w:ascii="仿宋" w:hAnsi="仿宋" w:eastAsia="仿宋"/>
          <w:b/>
          <w:bCs/>
          <w:lang w:eastAsia="zh-CN"/>
        </w:rPr>
        <w:t>.</w:t>
      </w:r>
      <w:r>
        <w:rPr>
          <w:rFonts w:hint="eastAsia" w:ascii="仿宋" w:hAnsi="仿宋" w:eastAsia="仿宋"/>
          <w:b/>
          <w:bCs/>
        </w:rPr>
        <w:t>研究生评先评优及违纪处分工作</w:t>
      </w:r>
    </w:p>
    <w:p>
      <w:pPr>
        <w:pStyle w:val="2"/>
        <w:spacing w:line="560" w:lineRule="exact"/>
        <w:rPr>
          <w:rStyle w:val="20"/>
          <w:rFonts w:ascii="黑体" w:hAnsi="黑体" w:eastAsia="黑体" w:cs="方正仿宋简体"/>
          <w:color w:val="auto"/>
          <w:szCs w:val="32"/>
        </w:rPr>
      </w:pPr>
      <w:r>
        <w:rPr>
          <w:rStyle w:val="20"/>
          <w:rFonts w:hint="eastAsia" w:ascii="黑体" w:hAnsi="黑体" w:eastAsia="黑体" w:cs="方正仿宋简体"/>
          <w:color w:val="auto"/>
          <w:szCs w:val="32"/>
        </w:rPr>
        <w:t>三、研究生培养相关制度及执行情况</w:t>
      </w:r>
    </w:p>
    <w:p>
      <w:pPr>
        <w:spacing w:line="560" w:lineRule="exact"/>
        <w:ind w:firstLine="643" w:firstLineChars="200"/>
        <w:rPr>
          <w:rStyle w:val="20"/>
          <w:rFonts w:ascii="楷体" w:hAnsi="楷体" w:eastAsia="楷体" w:cs="方正仿宋简体"/>
          <w:b/>
          <w:szCs w:val="32"/>
        </w:rPr>
      </w:pPr>
      <w:r>
        <w:rPr>
          <w:rStyle w:val="20"/>
          <w:rFonts w:hint="eastAsia" w:ascii="楷体" w:hAnsi="楷体" w:eastAsia="楷体" w:cs="方正仿宋简体"/>
          <w:b/>
          <w:szCs w:val="32"/>
        </w:rPr>
        <w:t>（一）课程建设与实施情况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rPr>
      </w:pPr>
      <w:r>
        <w:rPr>
          <w:rFonts w:hint="eastAsia" w:ascii="仿宋" w:hAnsi="仿宋" w:eastAsia="仿宋"/>
        </w:rPr>
        <w:t>本年度，根据研究生总体要求以及学科人才培养需求，对两个学科的课程体系以及授课内容进行了修订。修订的出发点是在原有研究基础上，结合国家和行业近期发展特点，突出特色，强化特色。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rPr>
      </w:pPr>
      <w:r>
        <w:rPr>
          <w:rFonts w:hint="eastAsia" w:ascii="仿宋" w:hAnsi="仿宋" w:eastAsia="仿宋"/>
        </w:rPr>
        <w:t>我院动力工程及工程热物理的学科优势是静态混合技术为代表的过程强化理论及其工程应用，为了进一步巩固、发展和提高该优势和特色，本次修订从流体角度由单相逐步扩展为两相流、多相流；从传递过程而言，由混合、传热强化发展为传质、反应强化，为此，在新版培养方案的课程设置中新设了《多相流理论》、《传质学》等课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rPr>
      </w:pPr>
      <w:r>
        <w:rPr>
          <w:rFonts w:hint="eastAsia" w:ascii="仿宋" w:hAnsi="仿宋" w:eastAsia="仿宋"/>
        </w:rPr>
        <w:t>我院机械工程的学科优势是机械动力学及其可靠性，原培养方案课程设置中没有体现对该优势的支撑作用，在新方案中设置了“机械设备故障诊断技术”“机械可靠性工程”等课程。此外，本学科经过整合的研究方向“金属材料性能及成型”也具有良好的发展潜力和前景，特别是在“高强度镁合金成型理论及应用”方面取得一些高水平研究成果，为此，在新版培养方案的课程设置中新设了《金属材料成型技术》、《金属电子显微分析》等课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rPr>
      </w:pPr>
      <w:r>
        <w:rPr>
          <w:rFonts w:hint="eastAsia" w:ascii="仿宋" w:hAnsi="仿宋" w:eastAsia="仿宋"/>
        </w:rPr>
        <w:t>原有的学科核心课没有体现研究生课程的高阶性，在新版方案中提高了部分课程的深度和广度，比如在新版动力工程培养方案中，将核心课程设立为《高等热力学》、《高等传热学》、《高等流体力学》。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rPr>
      </w:pPr>
      <w:r>
        <w:rPr>
          <w:rFonts w:hint="eastAsia" w:ascii="仿宋" w:hAnsi="仿宋" w:eastAsia="仿宋"/>
        </w:rPr>
        <w:t>学院积极鼓励教师参与研究生课程建设，王立鹏老师主讲的《计算传热学》被学校评为“课程思政”精品示范课，李雅侠老师获得“腾飞杯”沈阳化工大学青年教工岗位技能大赛研究生导师立德树人微视频二等奖。</w:t>
      </w:r>
    </w:p>
    <w:p>
      <w:pPr>
        <w:spacing w:line="560" w:lineRule="exact"/>
        <w:ind w:firstLine="643" w:firstLineChars="200"/>
        <w:rPr>
          <w:rStyle w:val="20"/>
          <w:rFonts w:ascii="楷体" w:hAnsi="楷体" w:eastAsia="楷体" w:cs="方正仿宋简体"/>
          <w:b/>
          <w:szCs w:val="32"/>
        </w:rPr>
      </w:pPr>
      <w:r>
        <w:rPr>
          <w:rStyle w:val="20"/>
          <w:rFonts w:hint="eastAsia" w:ascii="楷体" w:hAnsi="楷体" w:eastAsia="楷体" w:cs="方正仿宋简体"/>
          <w:b/>
          <w:szCs w:val="32"/>
        </w:rPr>
        <w:t>（二）导师选拔培训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rPr>
      </w:pPr>
      <w:r>
        <w:rPr>
          <w:rFonts w:hint="eastAsia" w:ascii="仿宋" w:hAnsi="仿宋" w:eastAsia="仿宋"/>
        </w:rPr>
        <w:t>为了提高研究生培养质量，降低研究生与导师的生师比，我院采取多项措施选拔研究生导师：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rPr>
      </w:pPr>
      <w:r>
        <w:rPr>
          <w:rFonts w:hint="eastAsia" w:ascii="仿宋" w:hAnsi="仿宋" w:eastAsia="仿宋"/>
        </w:rPr>
        <w:t>一是在科研院所、其它高校遴选优秀教师担任我院研究生导师，我院联培导师已达到30人；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rPr>
      </w:pPr>
      <w:r>
        <w:rPr>
          <w:rFonts w:hint="eastAsia" w:ascii="仿宋" w:hAnsi="仿宋" w:eastAsia="仿宋"/>
        </w:rPr>
        <w:t>二是在校内聘任与我院学科研究内容相近的外学院或院所的优秀导师担任我院导师。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rPr>
      </w:pPr>
      <w:r>
        <w:rPr>
          <w:rFonts w:hint="eastAsia" w:ascii="仿宋" w:hAnsi="仿宋" w:eastAsia="仿宋"/>
        </w:rPr>
        <w:t>三是大力培养选拔我院优秀的青年教师担任导师，将青年教师纳入相应研究团队，解决研究经费不足的同时，由团队负责人对青年导师进行指导，确保研究生的培养质量，近三年已经培养选拔了10名青年导师。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rPr>
      </w:pPr>
      <w:r>
        <w:rPr>
          <w:rFonts w:hint="eastAsia" w:ascii="仿宋" w:hAnsi="仿宋" w:eastAsia="仿宋"/>
        </w:rPr>
        <w:t>为适应新形势下研究生教育的发展，建设一支高质量、高水平的研究生导师队伍，我院采取多项举措对研究生导师进行培训，包括研究生导师科学道德和学术规范教育；新遴选研究生导师培训；研究生招生、培养、学位授予等管理工作规范教育；研究生培养教学模式创新、课程体系建设等教育教学工作探究交流；优秀研究生导师育人经验分享交流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Style w:val="20"/>
          <w:rFonts w:ascii="楷体" w:hAnsi="楷体" w:eastAsia="楷体" w:cs="方正仿宋简体"/>
          <w:b/>
          <w:szCs w:val="32"/>
        </w:rPr>
      </w:pPr>
      <w:r>
        <w:rPr>
          <w:rStyle w:val="20"/>
          <w:rFonts w:hint="eastAsia" w:ascii="楷体" w:hAnsi="楷体" w:eastAsia="楷体" w:cs="方正仿宋简体"/>
          <w:b/>
          <w:szCs w:val="32"/>
        </w:rPr>
        <w:t>（三）师德师风建设情况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rPr>
      </w:pPr>
      <w:r>
        <w:rPr>
          <w:rFonts w:hint="eastAsia" w:ascii="仿宋" w:hAnsi="仿宋" w:eastAsia="仿宋"/>
        </w:rPr>
        <w:t>学院将思政教育导师责任制、以科研为主导的导师负责制和项目资助制有机结合，助推研究生导师师德师风建设取得新成效。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rPr>
      </w:pPr>
      <w:r>
        <w:rPr>
          <w:rFonts w:hint="eastAsia" w:ascii="仿宋" w:hAnsi="仿宋" w:eastAsia="仿宋"/>
        </w:rPr>
        <w:t>健全制度。制定研究生导师招生资格认定办法、招生计划分配办法等制度，建立研究生导师“教书育人、管理育人、服务育人”先进评选机制，在研究生招收和指导方面实行学术道德、师德一票否决制。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rPr>
      </w:pPr>
      <w:r>
        <w:rPr>
          <w:rFonts w:hint="eastAsia" w:ascii="仿宋" w:hAnsi="仿宋" w:eastAsia="仿宋"/>
        </w:rPr>
        <w:t>明确权责。强化导师学术自律和对研究生的督导责任,做好新任研究生导师学术道德与导师职责培训，定期开展导师岗位评估。将研究生中期筛选考核和学位论文抽检等结果，与导师招生资格确认、招生计划分配及其他评比活动紧密挂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rPr>
      </w:pPr>
      <w:r>
        <w:rPr>
          <w:rFonts w:hint="eastAsia" w:ascii="仿宋" w:hAnsi="仿宋" w:eastAsia="仿宋"/>
        </w:rPr>
        <w:t>学生评价。充分发挥学生在师德师风建设中的促进作用，组织学生评议老师课程教学质量，通过学生自评自选的形式，从学术科研、德行品格等方面对导师进行评价。</w:t>
      </w:r>
    </w:p>
    <w:p>
      <w:pPr>
        <w:spacing w:line="560" w:lineRule="exact"/>
        <w:ind w:firstLine="643" w:firstLineChars="200"/>
        <w:rPr>
          <w:rStyle w:val="20"/>
          <w:rFonts w:ascii="楷体" w:hAnsi="楷体" w:eastAsia="楷体" w:cs="方正仿宋简体"/>
          <w:b/>
          <w:szCs w:val="32"/>
        </w:rPr>
      </w:pPr>
      <w:r>
        <w:rPr>
          <w:rStyle w:val="20"/>
          <w:rFonts w:hint="eastAsia" w:ascii="楷体" w:hAnsi="楷体" w:eastAsia="楷体" w:cs="方正仿宋简体"/>
          <w:b/>
          <w:szCs w:val="32"/>
        </w:rPr>
        <w:t>（四）学术训练情况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rPr>
      </w:pPr>
      <w:r>
        <w:rPr>
          <w:rFonts w:hint="eastAsia" w:ascii="仿宋" w:hAnsi="仿宋" w:eastAsia="仿宋"/>
        </w:rPr>
        <w:t>探索并开展科教融合联合培养研究生模式，与中科院广州能源所、中科院北京过程所、中科院沈阳金属所等科研单位已经联合培养了43名研究生，联合培养为研究生提供了广阔的研究空间和科研平台，可以在真实的研究项目和生产实践过程中培养研究生的创新能力，对研究生质量培养起到了推动提升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rPr>
      </w:pPr>
      <w:r>
        <w:rPr>
          <w:rFonts w:hint="eastAsia" w:ascii="仿宋" w:hAnsi="仿宋" w:eastAsia="仿宋"/>
        </w:rPr>
        <w:t>学院鼓励专业学位研究生积极参与导师横向课题，并将实践内容与论文选题相结合，采取一生一聘双导师制，校外导师参与学生的专业实践、开题、论文指导、答辩等环节的全过程指导。2023年，我校研究生参与导师或校外导师横向科研项目人次数为100人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rPr>
      </w:pPr>
      <w:r>
        <w:rPr>
          <w:rFonts w:hint="eastAsia" w:ascii="仿宋" w:hAnsi="仿宋" w:eastAsia="仿宋"/>
        </w:rPr>
        <w:t>支持研究生参加高水平学科竞赛和创新创业竞赛。我院研究生积极参加“中国研究生创新实践系列大赛”和其他学科类专业竞赛，努力提高自身的专业实践能力和学术水平。2023年研究生获省级以上学术科技竞赛奖项3项，获奖学生 10人，其中国际级别竞赛获奖1项，国家级竞赛获奖1项。</w:t>
      </w:r>
    </w:p>
    <w:p>
      <w:pPr>
        <w:spacing w:line="560" w:lineRule="exact"/>
        <w:ind w:firstLine="643" w:firstLineChars="200"/>
        <w:rPr>
          <w:rStyle w:val="20"/>
          <w:rFonts w:ascii="楷体" w:hAnsi="楷体" w:eastAsia="楷体" w:cs="方正仿宋简体"/>
          <w:b/>
          <w:szCs w:val="32"/>
        </w:rPr>
      </w:pPr>
      <w:r>
        <w:rPr>
          <w:rStyle w:val="20"/>
          <w:rFonts w:hint="eastAsia" w:ascii="楷体" w:hAnsi="楷体" w:eastAsia="楷体" w:cs="方正仿宋简体"/>
          <w:b/>
          <w:szCs w:val="32"/>
        </w:rPr>
        <w:t>（五）学术交流情况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rPr>
      </w:pPr>
      <w:r>
        <w:rPr>
          <w:rFonts w:hint="eastAsia" w:ascii="仿宋" w:hAnsi="仿宋" w:eastAsia="仿宋"/>
        </w:rPr>
        <w:t>学院始终重视导师及研究生进行学术交流，鼓励教师承办学术会议，支持研究生参加学术会议。本年度我院研究生在其它学术会议、论坛等作报告的研究生达到8人次，作论文交流10人次。</w:t>
      </w:r>
    </w:p>
    <w:p>
      <w:pPr>
        <w:spacing w:line="560" w:lineRule="exact"/>
        <w:ind w:firstLine="643" w:firstLineChars="200"/>
        <w:rPr>
          <w:rStyle w:val="20"/>
          <w:rFonts w:ascii="楷体" w:hAnsi="楷体" w:eastAsia="楷体" w:cs="方正仿宋简体"/>
          <w:b/>
          <w:szCs w:val="32"/>
        </w:rPr>
      </w:pPr>
      <w:r>
        <w:rPr>
          <w:rStyle w:val="20"/>
          <w:rFonts w:hint="eastAsia" w:ascii="楷体" w:hAnsi="楷体" w:eastAsia="楷体" w:cs="方正仿宋简体"/>
          <w:b/>
          <w:szCs w:val="32"/>
        </w:rPr>
        <w:t>（六）研究生奖助情况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rPr>
      </w:pPr>
      <w:r>
        <w:rPr>
          <w:rFonts w:hint="eastAsia" w:ascii="仿宋" w:hAnsi="仿宋" w:eastAsia="仿宋"/>
        </w:rPr>
        <w:t>学院积极完善研究生奖助体系建设，按照我校《研究生国家奖学金管理实施细则》、《研究生国家助学金管理实施细则》、《研究生学业奖学金管理实施细则》、《研究生“三助一辅”工作管理办法》等文件要求，建立起了包含国家奖学金、国家助学金、学业奖学金、“三助一辅”岗位津贴在内的国家、学校多方资助结合的多元化研究生资助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rPr>
      </w:pPr>
      <w:r>
        <w:rPr>
          <w:rFonts w:hint="eastAsia" w:ascii="仿宋" w:hAnsi="仿宋" w:eastAsia="仿宋"/>
        </w:rPr>
        <w:t>本年度，我院共有</w:t>
      </w:r>
      <w:r>
        <w:rPr>
          <w:rFonts w:hint="eastAsia" w:ascii="仿宋" w:hAnsi="仿宋" w:eastAsia="仿宋"/>
          <w:lang w:val="en-US" w:eastAsia="zh-CN"/>
        </w:rPr>
        <w:t>7</w:t>
      </w:r>
      <w:r>
        <w:rPr>
          <w:rFonts w:hint="eastAsia" w:ascii="仿宋" w:hAnsi="仿宋" w:eastAsia="仿宋"/>
        </w:rPr>
        <w:t>名研究生获得国家奖学金；</w:t>
      </w:r>
      <w:r>
        <w:rPr>
          <w:rFonts w:hint="eastAsia" w:ascii="仿宋" w:hAnsi="仿宋" w:eastAsia="仿宋"/>
          <w:lang w:val="en-US" w:eastAsia="zh-CN"/>
        </w:rPr>
        <w:t>265</w:t>
      </w:r>
      <w:r>
        <w:rPr>
          <w:rFonts w:hint="eastAsia" w:ascii="仿宋" w:hAnsi="仿宋" w:eastAsia="仿宋"/>
        </w:rPr>
        <w:t>人获得学业奖学金，其中一等奖</w:t>
      </w:r>
      <w:r>
        <w:rPr>
          <w:rFonts w:hint="eastAsia" w:ascii="仿宋" w:hAnsi="仿宋" w:eastAsia="仿宋"/>
          <w:lang w:val="en-US" w:eastAsia="zh-CN"/>
        </w:rPr>
        <w:t>53</w:t>
      </w:r>
      <w:r>
        <w:rPr>
          <w:rFonts w:hint="eastAsia" w:ascii="仿宋" w:hAnsi="仿宋" w:eastAsia="仿宋"/>
        </w:rPr>
        <w:t>人，二等奖</w:t>
      </w:r>
      <w:r>
        <w:rPr>
          <w:rFonts w:hint="eastAsia" w:ascii="仿宋" w:hAnsi="仿宋" w:eastAsia="仿宋"/>
          <w:lang w:val="en-US" w:eastAsia="zh-CN"/>
        </w:rPr>
        <w:t>70</w:t>
      </w:r>
      <w:r>
        <w:rPr>
          <w:rFonts w:hint="eastAsia" w:ascii="仿宋" w:hAnsi="仿宋" w:eastAsia="仿宋"/>
        </w:rPr>
        <w:t>人，三等奖</w:t>
      </w:r>
      <w:r>
        <w:rPr>
          <w:rFonts w:hint="eastAsia" w:ascii="仿宋" w:hAnsi="仿宋" w:eastAsia="仿宋"/>
          <w:lang w:val="en-US" w:eastAsia="zh-CN"/>
        </w:rPr>
        <w:t>142</w:t>
      </w:r>
      <w:r>
        <w:rPr>
          <w:rFonts w:hint="eastAsia" w:ascii="仿宋" w:hAnsi="仿宋" w:eastAsia="仿宋"/>
        </w:rPr>
        <w:t>人；</w:t>
      </w:r>
      <w:r>
        <w:rPr>
          <w:rFonts w:hint="eastAsia" w:ascii="仿宋" w:hAnsi="仿宋" w:eastAsia="仿宋"/>
          <w:lang w:val="en-US" w:eastAsia="zh-CN"/>
        </w:rPr>
        <w:t>1</w:t>
      </w:r>
      <w:r>
        <w:rPr>
          <w:rFonts w:hint="eastAsia" w:ascii="仿宋" w:hAnsi="仿宋" w:eastAsia="仿宋"/>
        </w:rPr>
        <w:t>25人获得</w:t>
      </w:r>
      <w:r>
        <w:rPr>
          <w:rFonts w:hint="eastAsia" w:ascii="仿宋" w:hAnsi="仿宋" w:eastAsia="仿宋"/>
          <w:lang w:val="en-US" w:eastAsia="zh-CN"/>
        </w:rPr>
        <w:t>各类</w:t>
      </w:r>
      <w:r>
        <w:rPr>
          <w:rFonts w:hint="eastAsia" w:ascii="仿宋" w:hAnsi="仿宋" w:eastAsia="仿宋"/>
        </w:rPr>
        <w:t>入学奖学金。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rPr>
      </w:pPr>
      <w:r>
        <w:rPr>
          <w:rFonts w:hint="eastAsia" w:ascii="仿宋" w:hAnsi="仿宋" w:eastAsia="仿宋"/>
          <w:lang w:val="en-US" w:eastAsia="zh-CN"/>
        </w:rPr>
        <w:t>56</w:t>
      </w:r>
      <w:r>
        <w:rPr>
          <w:rFonts w:hint="eastAsia" w:ascii="仿宋" w:hAnsi="仿宋" w:eastAsia="仿宋"/>
        </w:rPr>
        <w:t>人次获得各种荣誉称号，其中沈阳市优秀研究生</w:t>
      </w:r>
      <w:r>
        <w:rPr>
          <w:rFonts w:hint="eastAsia" w:ascii="仿宋" w:hAnsi="仿宋" w:eastAsia="仿宋"/>
          <w:lang w:val="en-US" w:eastAsia="zh-CN"/>
        </w:rPr>
        <w:t>1</w:t>
      </w:r>
      <w:r>
        <w:rPr>
          <w:rFonts w:hint="eastAsia" w:ascii="仿宋" w:hAnsi="仿宋" w:eastAsia="仿宋"/>
        </w:rPr>
        <w:t>人，沈阳市优秀</w:t>
      </w:r>
      <w:r>
        <w:rPr>
          <w:rFonts w:hint="eastAsia" w:ascii="仿宋" w:hAnsi="仿宋" w:eastAsia="仿宋"/>
          <w:lang w:val="en-US" w:eastAsia="zh-CN"/>
        </w:rPr>
        <w:t>研究生</w:t>
      </w:r>
      <w:r>
        <w:rPr>
          <w:rFonts w:hint="eastAsia" w:ascii="仿宋" w:hAnsi="仿宋" w:eastAsia="仿宋"/>
        </w:rPr>
        <w:t>干部1人，校优秀学生党员</w:t>
      </w:r>
      <w:r>
        <w:rPr>
          <w:rFonts w:hint="eastAsia" w:ascii="仿宋" w:hAnsi="仿宋" w:eastAsia="仿宋"/>
          <w:lang w:val="en-US" w:eastAsia="zh-CN"/>
        </w:rPr>
        <w:t>1</w:t>
      </w:r>
      <w:r>
        <w:rPr>
          <w:rFonts w:hint="eastAsia" w:ascii="仿宋" w:hAnsi="仿宋" w:eastAsia="仿宋"/>
        </w:rPr>
        <w:t>人，校优秀研究生</w:t>
      </w:r>
      <w:r>
        <w:rPr>
          <w:rFonts w:hint="eastAsia" w:ascii="仿宋" w:hAnsi="仿宋" w:eastAsia="仿宋"/>
          <w:lang w:val="en-US" w:eastAsia="zh-CN"/>
        </w:rPr>
        <w:t>35</w:t>
      </w:r>
      <w:r>
        <w:rPr>
          <w:rFonts w:hint="eastAsia" w:ascii="仿宋" w:hAnsi="仿宋" w:eastAsia="仿宋"/>
        </w:rPr>
        <w:t>人，校优秀研究生干部</w:t>
      </w:r>
      <w:r>
        <w:rPr>
          <w:rFonts w:hint="eastAsia" w:ascii="仿宋" w:hAnsi="仿宋" w:eastAsia="仿宋"/>
          <w:lang w:val="en-US" w:eastAsia="zh-CN"/>
        </w:rPr>
        <w:t>18</w:t>
      </w:r>
      <w:r>
        <w:rPr>
          <w:rFonts w:hint="eastAsia" w:ascii="仿宋" w:hAnsi="仿宋" w:eastAsia="仿宋"/>
        </w:rPr>
        <w:t>人。</w:t>
      </w:r>
    </w:p>
    <w:p>
      <w:pPr>
        <w:pStyle w:val="2"/>
        <w:spacing w:line="560" w:lineRule="exact"/>
        <w:rPr>
          <w:rStyle w:val="20"/>
          <w:rFonts w:ascii="黑体" w:hAnsi="黑体" w:eastAsia="黑体" w:cs="方正仿宋简体"/>
          <w:color w:val="auto"/>
          <w:szCs w:val="32"/>
        </w:rPr>
      </w:pPr>
      <w:r>
        <w:rPr>
          <w:rStyle w:val="20"/>
          <w:rFonts w:hint="eastAsia" w:ascii="黑体" w:hAnsi="黑体" w:eastAsia="黑体" w:cs="方正仿宋简体"/>
          <w:color w:val="auto"/>
          <w:szCs w:val="32"/>
        </w:rPr>
        <w:t>四、研究生教育改革情况</w:t>
      </w:r>
    </w:p>
    <w:p>
      <w:pPr>
        <w:spacing w:line="560" w:lineRule="exact"/>
        <w:ind w:firstLine="643" w:firstLineChars="200"/>
        <w:rPr>
          <w:rStyle w:val="20"/>
          <w:rFonts w:ascii="楷体" w:hAnsi="楷体" w:eastAsia="楷体" w:cs="方正仿宋简体"/>
          <w:b/>
          <w:szCs w:val="32"/>
        </w:rPr>
      </w:pPr>
      <w:r>
        <w:rPr>
          <w:rStyle w:val="20"/>
          <w:rFonts w:hint="eastAsia" w:ascii="楷体" w:hAnsi="楷体" w:eastAsia="楷体" w:cs="方正仿宋简体"/>
          <w:b/>
          <w:szCs w:val="32"/>
        </w:rPr>
        <w:t>（一）人才培养</w:t>
      </w:r>
    </w:p>
    <w:p>
      <w:pPr>
        <w:pStyle w:val="2"/>
        <w:rPr>
          <w:rFonts w:ascii="仿宋" w:hAnsi="仿宋" w:eastAsia="仿宋"/>
          <w:b/>
          <w:bCs/>
          <w:color w:val="auto"/>
          <w:szCs w:val="24"/>
        </w:rPr>
      </w:pPr>
      <w:r>
        <w:rPr>
          <w:rFonts w:hint="eastAsia" w:ascii="仿宋" w:hAnsi="仿宋" w:eastAsia="仿宋"/>
          <w:b/>
          <w:bCs/>
          <w:color w:val="auto"/>
          <w:szCs w:val="24"/>
        </w:rPr>
        <w:t>1.提升人才培养质量，培养创新型、应用型人才。</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olor w:val="auto"/>
          <w:szCs w:val="24"/>
        </w:rPr>
      </w:pPr>
      <w:r>
        <w:rPr>
          <w:rFonts w:hint="eastAsia" w:ascii="仿宋" w:hAnsi="仿宋" w:eastAsia="仿宋" w:cs="Times New Roman"/>
          <w:color w:val="auto"/>
          <w:kern w:val="2"/>
          <w:sz w:val="32"/>
          <w:szCs w:val="24"/>
          <w:lang w:val="en-US" w:eastAsia="zh-CN" w:bidi="ar-SA"/>
        </w:rPr>
        <w:t>学院致力在优化科研团队、提升人才培养质量、增强科创能力等方面上提升水平。与东北制药集团等大中型企业交流，建立互惠关系，为在校学生提供培训场地、导师指导。通过组织参加社会实践活动，促进在校研究生更新观念，吸收新的思想与知识，有效提高学生的综合素质和实践能力。</w:t>
      </w:r>
    </w:p>
    <w:p>
      <w:pPr>
        <w:pStyle w:val="2"/>
        <w:rPr>
          <w:rFonts w:hint="eastAsia" w:ascii="仿宋" w:hAnsi="仿宋" w:eastAsia="仿宋"/>
          <w:b/>
          <w:bCs/>
          <w:color w:val="auto"/>
          <w:szCs w:val="24"/>
        </w:rPr>
      </w:pPr>
      <w:r>
        <w:rPr>
          <w:rFonts w:hint="eastAsia" w:ascii="仿宋" w:hAnsi="仿宋" w:eastAsia="仿宋"/>
          <w:b/>
          <w:bCs/>
          <w:color w:val="auto"/>
          <w:szCs w:val="24"/>
        </w:rPr>
        <w:t>2.深化科教协同、产教融合育人。</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color w:val="auto"/>
          <w:kern w:val="2"/>
          <w:sz w:val="32"/>
          <w:szCs w:val="24"/>
          <w:lang w:val="en-US" w:eastAsia="zh-CN" w:bidi="ar-SA"/>
        </w:rPr>
      </w:pPr>
      <w:r>
        <w:rPr>
          <w:rFonts w:hint="eastAsia" w:ascii="仿宋" w:hAnsi="仿宋" w:eastAsia="仿宋" w:cs="Times New Roman"/>
          <w:color w:val="auto"/>
          <w:kern w:val="2"/>
          <w:sz w:val="32"/>
          <w:szCs w:val="24"/>
          <w:lang w:val="en-US" w:eastAsia="zh-CN" w:bidi="ar-SA"/>
        </w:rPr>
        <w:t>学院鼓励和支持教师把科研成果转化为教学资源，依托科研项目开设研究性、创新性课程。建立以职业需求为导向的硕士专业学位研究生教育发展机制，加强专业学位专业实践管理，鼓励学生提高创新能力，积极参加与专业相关的各类创新实践大赛，并将参赛成绩纳入专业实践考核范围。</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color w:val="auto"/>
          <w:kern w:val="2"/>
          <w:sz w:val="32"/>
          <w:szCs w:val="24"/>
          <w:lang w:val="en-US" w:eastAsia="zh-CN" w:bidi="ar-SA"/>
        </w:rPr>
      </w:pPr>
      <w:r>
        <w:rPr>
          <w:rFonts w:hint="eastAsia" w:ascii="仿宋" w:hAnsi="仿宋" w:eastAsia="仿宋" w:cs="Times New Roman"/>
          <w:color w:val="auto"/>
          <w:kern w:val="2"/>
          <w:sz w:val="32"/>
          <w:szCs w:val="24"/>
          <w:lang w:val="en-US" w:eastAsia="zh-CN" w:bidi="ar-SA"/>
        </w:rPr>
        <w:t>主动对接国家经济社会发展需求，积极与科研单位、兄弟院校建立联合培养研究生政策，全面实施双导师制，研一在我校进行培养，研二、研三到联培单位进行毕业课题研究，切实推动“科教协同、产教融合”。</w:t>
      </w:r>
    </w:p>
    <w:p>
      <w:pPr>
        <w:pStyle w:val="2"/>
        <w:rPr>
          <w:rFonts w:ascii="仿宋" w:hAnsi="仿宋" w:eastAsia="仿宋"/>
          <w:b/>
          <w:bCs/>
          <w:color w:val="auto"/>
          <w:szCs w:val="24"/>
        </w:rPr>
      </w:pPr>
      <w:r>
        <w:rPr>
          <w:rFonts w:hint="eastAsia" w:ascii="仿宋" w:hAnsi="仿宋" w:eastAsia="仿宋"/>
          <w:b/>
          <w:bCs/>
          <w:color w:val="auto"/>
          <w:szCs w:val="24"/>
        </w:rPr>
        <w:t>3.加强联合培养基地建设。</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color w:val="auto"/>
          <w:kern w:val="2"/>
          <w:sz w:val="32"/>
          <w:szCs w:val="24"/>
          <w:lang w:val="en-US" w:eastAsia="zh-CN" w:bidi="ar-SA"/>
        </w:rPr>
      </w:pPr>
      <w:r>
        <w:rPr>
          <w:rFonts w:hint="eastAsia" w:ascii="仿宋" w:hAnsi="仿宋" w:eastAsia="仿宋" w:cs="Times New Roman"/>
          <w:color w:val="auto"/>
          <w:kern w:val="2"/>
          <w:sz w:val="32"/>
          <w:szCs w:val="24"/>
          <w:lang w:val="en-US" w:eastAsia="zh-CN" w:bidi="ar-SA"/>
        </w:rPr>
        <w:t>学院根据学科布局，积极设立研究生联合培养基地及科研实践基地，实现各学科群全面覆盖。沈阳鼓风机集团辅机成套工程有限公司研究生联合培养基地获得2023年辽宁省研究生联合培养示范基地。学术学位研究生结合研究方向，根据科研需要进入基地进行科研实践，专业学位研究生要求全部进入基地进行专业实践，极大地提高研究生创新实践能力。</w:t>
      </w:r>
    </w:p>
    <w:p>
      <w:pPr>
        <w:pStyle w:val="2"/>
        <w:rPr>
          <w:rFonts w:ascii="仿宋" w:hAnsi="仿宋" w:eastAsia="仿宋"/>
          <w:b/>
          <w:bCs/>
          <w:color w:val="auto"/>
          <w:szCs w:val="24"/>
        </w:rPr>
      </w:pPr>
      <w:r>
        <w:rPr>
          <w:rFonts w:hint="eastAsia" w:ascii="仿宋" w:hAnsi="仿宋" w:eastAsia="仿宋"/>
          <w:b/>
          <w:bCs/>
          <w:color w:val="auto"/>
          <w:szCs w:val="24"/>
        </w:rPr>
        <w:t>4.持续推进教学改革研究。</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color w:val="auto"/>
          <w:kern w:val="2"/>
          <w:sz w:val="32"/>
          <w:szCs w:val="24"/>
          <w:lang w:val="en-US" w:eastAsia="zh-CN" w:bidi="ar-SA"/>
        </w:rPr>
      </w:pPr>
      <w:r>
        <w:rPr>
          <w:rFonts w:hint="eastAsia" w:ascii="仿宋" w:hAnsi="仿宋" w:eastAsia="仿宋" w:cs="Times New Roman"/>
          <w:color w:val="auto"/>
          <w:kern w:val="2"/>
          <w:sz w:val="32"/>
          <w:szCs w:val="24"/>
          <w:lang w:val="en-US" w:eastAsia="zh-CN" w:bidi="ar-SA"/>
        </w:rPr>
        <w:t>学院重视研究生教育教学改革研究，立足导师指导能力建设，支持研究生导师围绕研究生教育创新改革发展、教育教学研究和质量监督体系建设等领域开展研究，着力解决高层次创新人才培养中的重点和难点问题。</w:t>
      </w:r>
    </w:p>
    <w:p>
      <w:pPr>
        <w:spacing w:line="560" w:lineRule="exact"/>
        <w:ind w:firstLine="643" w:firstLineChars="200"/>
        <w:rPr>
          <w:rStyle w:val="20"/>
          <w:rFonts w:ascii="楷体" w:hAnsi="楷体" w:eastAsia="楷体" w:cs="方正仿宋简体"/>
          <w:b/>
          <w:szCs w:val="32"/>
        </w:rPr>
      </w:pPr>
      <w:r>
        <w:rPr>
          <w:rStyle w:val="20"/>
          <w:rFonts w:hint="eastAsia" w:ascii="楷体" w:hAnsi="楷体" w:eastAsia="楷体" w:cs="方正仿宋简体"/>
          <w:b/>
          <w:szCs w:val="32"/>
        </w:rPr>
        <w:t>（二）教师队伍建设</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color w:val="auto"/>
          <w:kern w:val="2"/>
          <w:sz w:val="32"/>
          <w:szCs w:val="24"/>
          <w:lang w:val="en-US" w:eastAsia="zh-CN" w:bidi="ar-SA"/>
        </w:rPr>
      </w:pPr>
      <w:r>
        <w:rPr>
          <w:rFonts w:hint="eastAsia" w:ascii="仿宋" w:hAnsi="仿宋" w:eastAsia="仿宋" w:cs="Times New Roman"/>
          <w:color w:val="auto"/>
          <w:kern w:val="2"/>
          <w:sz w:val="32"/>
          <w:szCs w:val="24"/>
          <w:lang w:val="en-US" w:eastAsia="zh-CN" w:bidi="ar-SA"/>
        </w:rPr>
        <w:t>1.搭建师德建设平台，提高教师素养。学校充分认识师德师风建设重要性和紧迫性，高度重视，将师德教育摆在教师培养首位，贯穿教师职业生涯全过程。</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color w:val="auto"/>
          <w:kern w:val="2"/>
          <w:sz w:val="32"/>
          <w:szCs w:val="24"/>
          <w:lang w:val="en-US" w:eastAsia="zh-CN" w:bidi="ar-SA"/>
        </w:rPr>
      </w:pPr>
      <w:r>
        <w:rPr>
          <w:rFonts w:hint="eastAsia" w:ascii="仿宋" w:hAnsi="仿宋" w:eastAsia="仿宋" w:cs="Times New Roman"/>
          <w:color w:val="auto"/>
          <w:kern w:val="2"/>
          <w:sz w:val="32"/>
          <w:szCs w:val="24"/>
          <w:lang w:val="en-US" w:eastAsia="zh-CN" w:bidi="ar-SA"/>
        </w:rPr>
        <w:t>2.搭建教师培训平台，提升教师专业化水平。学院定期组织举办教师培训活动，推荐鼓励青年教师到企业进行实现锻炼，提升解决工程实际问题的能力。</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color w:val="auto"/>
          <w:kern w:val="2"/>
          <w:sz w:val="32"/>
          <w:szCs w:val="24"/>
          <w:lang w:val="en-US" w:eastAsia="zh-CN" w:bidi="ar-SA"/>
        </w:rPr>
      </w:pPr>
      <w:r>
        <w:rPr>
          <w:rFonts w:hint="eastAsia" w:ascii="仿宋" w:hAnsi="仿宋" w:eastAsia="仿宋" w:cs="Times New Roman"/>
          <w:color w:val="auto"/>
          <w:kern w:val="2"/>
          <w:sz w:val="32"/>
          <w:szCs w:val="24"/>
          <w:lang w:val="en-US" w:eastAsia="zh-CN" w:bidi="ar-SA"/>
        </w:rPr>
        <w:t>3.建立健全教师管理制度，构建激励保障体系。学院不断完善激励机制，推优评先，发挥先锋模范的示范引领作用，激励教师担当作为，聚集正能量，激发队伍建设活力。学院设立了教学竞赛奖励、教研成果奖励、教材成果奖励、教研项目奖励、教学课程奖励、教研论文奖励、教学实践奖励等项目，每年划拨专项经费用于奖励，进一步调动教师开展好教学工作的积极性。</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color w:val="auto"/>
          <w:kern w:val="2"/>
          <w:sz w:val="32"/>
          <w:szCs w:val="24"/>
          <w:lang w:val="en-US" w:eastAsia="zh-CN" w:bidi="ar-SA"/>
        </w:rPr>
      </w:pPr>
      <w:r>
        <w:rPr>
          <w:rFonts w:hint="eastAsia" w:ascii="仿宋" w:hAnsi="仿宋" w:eastAsia="仿宋" w:cs="Times New Roman"/>
          <w:color w:val="auto"/>
          <w:kern w:val="2"/>
          <w:sz w:val="32"/>
          <w:szCs w:val="24"/>
          <w:lang w:val="en-US" w:eastAsia="zh-CN" w:bidi="ar-SA"/>
        </w:rPr>
        <w:t>4.鼓励支持具有较大科研发展潜力的教师牵头组建科员团队。学院在实验场地、研究经费、团队成员、人才引进等方面，发展前景广阔的团队给予支持。</w:t>
      </w:r>
    </w:p>
    <w:p>
      <w:pPr>
        <w:spacing w:line="560" w:lineRule="exact"/>
        <w:ind w:firstLine="643" w:firstLineChars="200"/>
        <w:rPr>
          <w:rStyle w:val="20"/>
          <w:rFonts w:ascii="楷体" w:hAnsi="楷体" w:eastAsia="楷体" w:cs="方正仿宋简体"/>
          <w:b/>
          <w:szCs w:val="32"/>
        </w:rPr>
      </w:pPr>
      <w:r>
        <w:rPr>
          <w:rStyle w:val="20"/>
          <w:rFonts w:hint="eastAsia" w:ascii="楷体" w:hAnsi="楷体" w:eastAsia="楷体" w:cs="方正仿宋简体"/>
          <w:b/>
          <w:szCs w:val="32"/>
        </w:rPr>
        <w:t>（三）科学研究</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color w:val="auto"/>
          <w:kern w:val="2"/>
          <w:sz w:val="32"/>
          <w:szCs w:val="24"/>
          <w:lang w:val="en-US" w:eastAsia="zh-CN" w:bidi="ar-SA"/>
        </w:rPr>
      </w:pPr>
      <w:r>
        <w:rPr>
          <w:rFonts w:hint="eastAsia" w:ascii="仿宋" w:hAnsi="仿宋" w:eastAsia="仿宋" w:cs="Times New Roman"/>
          <w:color w:val="auto"/>
          <w:kern w:val="2"/>
          <w:sz w:val="32"/>
          <w:szCs w:val="24"/>
          <w:lang w:val="en-US" w:eastAsia="zh-CN" w:bidi="ar-SA"/>
        </w:rPr>
        <w:t>学院鼓励、支持全院教师积极申报各类科研项目，安排科研工作突出或潜力巨大的骨干教师参与科技创新活动、做科研报告，对其他教师积极开展科研工作起到示范引领作用。</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color w:val="auto"/>
          <w:kern w:val="2"/>
          <w:sz w:val="32"/>
          <w:szCs w:val="24"/>
          <w:lang w:val="en-US" w:eastAsia="zh-CN" w:bidi="ar-SA"/>
        </w:rPr>
      </w:pPr>
      <w:r>
        <w:rPr>
          <w:rFonts w:hint="eastAsia" w:ascii="仿宋" w:hAnsi="仿宋" w:eastAsia="仿宋" w:cs="Times New Roman"/>
          <w:color w:val="auto"/>
          <w:kern w:val="2"/>
          <w:sz w:val="32"/>
          <w:szCs w:val="24"/>
          <w:lang w:val="en-US" w:eastAsia="zh-CN" w:bidi="ar-SA"/>
        </w:rPr>
        <w:t>本年度，我院获批了3项省部级纵向科研项目和13项技术研发横向项目。进款总额达到559万元，相比年初的预定目标还有一定差距，争取在本年度结束前的一个月时间有所突破。本年度我院发表高水平论文共计79篇，其中SCI、EI收录论文38篇，中文核心论文41篇。</w:t>
      </w:r>
    </w:p>
    <w:p>
      <w:pPr>
        <w:spacing w:line="560" w:lineRule="exact"/>
        <w:ind w:firstLine="643" w:firstLineChars="200"/>
        <w:rPr>
          <w:rStyle w:val="20"/>
          <w:rFonts w:ascii="楷体" w:hAnsi="楷体" w:eastAsia="楷体" w:cs="方正仿宋简体"/>
          <w:b/>
          <w:szCs w:val="32"/>
        </w:rPr>
      </w:pPr>
      <w:r>
        <w:rPr>
          <w:rStyle w:val="20"/>
          <w:rFonts w:hint="eastAsia" w:ascii="楷体" w:hAnsi="楷体" w:eastAsia="楷体" w:cs="方正仿宋简体"/>
          <w:b/>
          <w:szCs w:val="32"/>
        </w:rPr>
        <w:t>（四）传承创新优秀文化</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color w:val="auto"/>
          <w:kern w:val="2"/>
          <w:sz w:val="32"/>
          <w:szCs w:val="24"/>
          <w:lang w:val="en-US" w:eastAsia="zh-CN" w:bidi="ar-SA"/>
        </w:rPr>
      </w:pPr>
      <w:r>
        <w:rPr>
          <w:rFonts w:hint="eastAsia" w:ascii="仿宋" w:hAnsi="仿宋" w:eastAsia="仿宋" w:cs="Times New Roman"/>
          <w:color w:val="auto"/>
          <w:kern w:val="2"/>
          <w:sz w:val="32"/>
          <w:szCs w:val="24"/>
          <w:lang w:val="en-US" w:eastAsia="zh-CN" w:bidi="ar-SA"/>
        </w:rPr>
        <w:t>学院始终重视优秀文化的传承与创新，鼓励教师与研究生在授课与课题研究过程中，能够将传统文化与研究内容、研究手段有机结合起来。比如，能源动力学科方向研究生，在研究混合元件三维建模过程中要用到3D打印技术，在学习过程中，为了增加同学们对优秀传统文化的认识、理解和传承，将3D打印对象设定为各种卯榫结构，通过对各卯榫零部件的打印制作及装配，了解我国古代建筑、木工艺术的伟大，同时也加深了对于3D打印技术的理解。</w:t>
      </w:r>
    </w:p>
    <w:p>
      <w:pPr>
        <w:pStyle w:val="2"/>
        <w:spacing w:line="560" w:lineRule="exact"/>
        <w:rPr>
          <w:rStyle w:val="20"/>
          <w:rFonts w:ascii="黑体" w:hAnsi="黑体" w:eastAsia="黑体" w:cs="方正仿宋简体"/>
          <w:color w:val="auto"/>
          <w:szCs w:val="32"/>
        </w:rPr>
      </w:pPr>
      <w:r>
        <w:rPr>
          <w:rStyle w:val="20"/>
          <w:rFonts w:hint="eastAsia" w:ascii="黑体" w:hAnsi="黑体" w:eastAsia="黑体" w:cs="方正仿宋简体"/>
          <w:color w:val="auto"/>
          <w:szCs w:val="32"/>
        </w:rPr>
        <w:t>五、教育质量评估与分析</w:t>
      </w:r>
    </w:p>
    <w:p>
      <w:pPr>
        <w:spacing w:line="560" w:lineRule="exact"/>
        <w:ind w:firstLine="643" w:firstLineChars="200"/>
        <w:rPr>
          <w:rStyle w:val="20"/>
          <w:rFonts w:ascii="楷体" w:hAnsi="楷体" w:eastAsia="楷体" w:cs="方正仿宋简体"/>
          <w:b/>
          <w:szCs w:val="32"/>
        </w:rPr>
      </w:pPr>
      <w:r>
        <w:rPr>
          <w:rStyle w:val="20"/>
          <w:rFonts w:hint="eastAsia" w:ascii="楷体" w:hAnsi="楷体" w:eastAsia="楷体" w:cs="方正仿宋简体"/>
          <w:b/>
          <w:szCs w:val="32"/>
        </w:rPr>
        <w:t>（一）学科（领域）自我评估进展及问题分析</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color w:val="auto"/>
          <w:kern w:val="2"/>
          <w:sz w:val="32"/>
          <w:szCs w:val="24"/>
          <w:lang w:val="en-US" w:eastAsia="zh-CN" w:bidi="ar-SA"/>
        </w:rPr>
      </w:pPr>
      <w:r>
        <w:rPr>
          <w:rFonts w:hint="eastAsia" w:ascii="仿宋" w:hAnsi="仿宋" w:eastAsia="仿宋" w:cs="Times New Roman"/>
          <w:color w:val="auto"/>
          <w:kern w:val="2"/>
          <w:sz w:val="32"/>
          <w:szCs w:val="24"/>
          <w:lang w:val="en-US" w:eastAsia="zh-CN" w:bidi="ar-SA"/>
        </w:rPr>
        <w:t>在师资队伍方面，上轮评估本学科青年教师比例低于各档次高校平均水平，在这方面我们还有较大提升空间，近期已有两名应届博士达成录用意向，若再引进5名青年教师即可达到本档高校平均水平。此外，在师资结构方面在上轮评估中外籍教师数量为0，由于近年能动中外合作办学聘用了1名专职俄语外教，可使本学科外籍教师比例达到2.6%，将高于绝大多数高校平均水平，这样师资结构将更趋合理。</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color w:val="auto"/>
          <w:kern w:val="2"/>
          <w:sz w:val="32"/>
          <w:szCs w:val="24"/>
          <w:lang w:val="en-US" w:eastAsia="zh-CN" w:bidi="ar-SA"/>
        </w:rPr>
      </w:pPr>
      <w:r>
        <w:rPr>
          <w:rFonts w:hint="eastAsia" w:ascii="仿宋" w:hAnsi="仿宋" w:eastAsia="仿宋" w:cs="Times New Roman"/>
          <w:color w:val="auto"/>
          <w:kern w:val="2"/>
          <w:sz w:val="32"/>
          <w:szCs w:val="24"/>
          <w:lang w:val="en-US" w:eastAsia="zh-CN" w:bidi="ar-SA"/>
        </w:rPr>
        <w:t>在生师比方面，我院优势是导师指导时间较长、指导质量较好，体现在培养过程质量，毕业生质量2个二级指标的位次优于学科整体水平。劣势是我们的授予学位数也同样偏低，尽管近年我们研究生录用人数有了大幅度的提升，但增加的基本均是专硕，学硕数量基本没变，而统计是学硕数量，所以在这方面我们还要进一步扬长避短，在毕业生和在校生培养质量多做工作，在学生简介、调查问卷等方面做得更好。</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color w:val="auto"/>
          <w:kern w:val="2"/>
          <w:sz w:val="32"/>
          <w:szCs w:val="24"/>
          <w:lang w:val="en-US" w:eastAsia="zh-CN" w:bidi="ar-SA"/>
        </w:rPr>
      </w:pPr>
      <w:r>
        <w:rPr>
          <w:rFonts w:hint="eastAsia" w:ascii="仿宋" w:hAnsi="仿宋" w:eastAsia="仿宋" w:cs="Times New Roman"/>
          <w:color w:val="auto"/>
          <w:kern w:val="2"/>
          <w:sz w:val="32"/>
          <w:szCs w:val="24"/>
          <w:lang w:val="en-US" w:eastAsia="zh-CN" w:bidi="ar-SA"/>
        </w:rPr>
        <w:t>在科研水平方面，科研成果、科研获奖、科研项目三个二级指标与上轮评估持平甚至更低。本轮评估重点要放在科研成果方面，特别是在专利转化和应用数量上再提升一个段位。与上轮评估相比，本轮评估采用“定量与定性相结合”的方式评价，改变上轮使用“扩展版ESI高被引论文”的做法，并要包含一定比例“中国期刊”，这对于我们相对比较有利，重点要放在筛选有价值的代表性论文上。</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color w:val="auto"/>
          <w:kern w:val="2"/>
          <w:sz w:val="32"/>
          <w:szCs w:val="24"/>
          <w:lang w:val="en-US" w:eastAsia="zh-CN" w:bidi="ar-SA"/>
        </w:rPr>
      </w:pPr>
      <w:r>
        <w:rPr>
          <w:rFonts w:hint="eastAsia" w:ascii="仿宋" w:hAnsi="仿宋" w:eastAsia="仿宋" w:cs="Times New Roman"/>
          <w:color w:val="auto"/>
          <w:kern w:val="2"/>
          <w:sz w:val="32"/>
          <w:szCs w:val="24"/>
          <w:lang w:val="en-US" w:eastAsia="zh-CN" w:bidi="ar-SA"/>
        </w:rPr>
        <w:t>在社会服务与学科声誉方面，近年来我们做了较多工作，如获批了特种设备作业人员培训和考核资质，能够对企业员工、高校学生进行1000人次/年以上的培训和考核；同时可为压力容器设计校核人员进行培训，并能够为获取行业从业资格证书进行考核。在第五轮评估中，社会服务贡献典型案例撰写内容更加详实，具有更好的说服力。</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Style w:val="20"/>
          <w:rFonts w:hint="eastAsia" w:ascii="楷体" w:hAnsi="楷体" w:eastAsia="楷体" w:cs="方正仿宋简体"/>
          <w:b/>
          <w:color w:val="auto"/>
          <w:szCs w:val="32"/>
          <w:lang w:val="en-US" w:eastAsia="zh-CN"/>
        </w:rPr>
      </w:pPr>
      <w:r>
        <w:rPr>
          <w:rStyle w:val="20"/>
          <w:rFonts w:hint="eastAsia" w:ascii="楷体" w:hAnsi="楷体" w:eastAsia="楷体" w:cs="方正仿宋简体"/>
          <w:b/>
          <w:color w:val="auto"/>
          <w:szCs w:val="32"/>
          <w:lang w:val="en-US" w:eastAsia="zh-CN"/>
        </w:rPr>
        <w:t>（二）学位论文抽检情况及问题分析</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color w:val="auto"/>
          <w:kern w:val="2"/>
          <w:sz w:val="32"/>
          <w:szCs w:val="24"/>
          <w:lang w:val="en-US" w:eastAsia="zh-CN" w:bidi="ar-SA"/>
        </w:rPr>
      </w:pPr>
      <w:r>
        <w:rPr>
          <w:rFonts w:hint="eastAsia" w:ascii="仿宋" w:hAnsi="仿宋" w:eastAsia="仿宋" w:cs="Times New Roman"/>
          <w:color w:val="auto"/>
          <w:kern w:val="2"/>
          <w:sz w:val="32"/>
          <w:szCs w:val="24"/>
          <w:lang w:val="en-US" w:eastAsia="zh-CN" w:bidi="ar-SA"/>
        </w:rPr>
        <w:t>学位论文是研究生培养质量的重要载体，是衡量学校和学科水平的重要指标。为保障和监控研究生学位论文质量，我院严格施行了预答辩制度、不端行为检测制度、论文盲评制度和严格的答辩规定，初步形成了学位论文质量保证体系。</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color w:val="auto"/>
          <w:kern w:val="2"/>
          <w:sz w:val="32"/>
          <w:szCs w:val="24"/>
          <w:lang w:val="en-US" w:eastAsia="zh-CN" w:bidi="ar-SA"/>
        </w:rPr>
      </w:pPr>
      <w:r>
        <w:rPr>
          <w:rFonts w:hint="eastAsia" w:ascii="仿宋" w:hAnsi="仿宋" w:eastAsia="仿宋" w:cs="Times New Roman"/>
          <w:color w:val="auto"/>
          <w:kern w:val="2"/>
          <w:sz w:val="32"/>
          <w:szCs w:val="24"/>
          <w:lang w:val="en-US" w:eastAsia="zh-CN" w:bidi="ar-SA"/>
        </w:rPr>
        <w:t>2023年度严格执行学位论文答辩资格审查与学位授予资格审查，学位论文校外送审率实现100%，采取平台送审全委托方式，完全实现学位论文第三方评价。严格执行学位论文检测、盲审、答辩环节，其中学位论文检测不合格0人，盲审环节不合格者3人，答辩环节不合格者0人，对以上盲审不合格研究生做出延期答辩处理。</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Times New Roman"/>
          <w:color w:val="auto"/>
          <w:kern w:val="2"/>
          <w:sz w:val="32"/>
          <w:szCs w:val="24"/>
          <w:lang w:val="en-US" w:eastAsia="zh-CN" w:bidi="ar-SA"/>
        </w:rPr>
      </w:pPr>
      <w:r>
        <w:rPr>
          <w:rFonts w:hint="eastAsia" w:ascii="仿宋" w:hAnsi="仿宋" w:eastAsia="仿宋" w:cs="Times New Roman"/>
          <w:color w:val="auto"/>
          <w:kern w:val="2"/>
          <w:sz w:val="32"/>
          <w:szCs w:val="24"/>
          <w:lang w:val="en-US" w:eastAsia="zh-CN" w:bidi="ar-SA"/>
        </w:rPr>
        <w:t>我院3篇学位论文被抽检，均为机械工程学术学位论文。总体评价结果为良好。</w:t>
      </w:r>
    </w:p>
    <w:p>
      <w:pPr>
        <w:pStyle w:val="2"/>
        <w:spacing w:line="560" w:lineRule="exact"/>
        <w:rPr>
          <w:rStyle w:val="20"/>
          <w:rFonts w:ascii="黑体" w:hAnsi="黑体" w:eastAsia="黑体" w:cs="方正仿宋简体"/>
          <w:color w:val="auto"/>
          <w:szCs w:val="32"/>
        </w:rPr>
      </w:pPr>
      <w:r>
        <w:rPr>
          <w:rStyle w:val="20"/>
          <w:rFonts w:hint="eastAsia" w:ascii="黑体" w:hAnsi="黑体" w:eastAsia="黑体" w:cs="方正仿宋简体"/>
          <w:color w:val="auto"/>
          <w:szCs w:val="32"/>
        </w:rPr>
        <w:t>六、改进措施</w:t>
      </w:r>
    </w:p>
    <w:p>
      <w:pPr>
        <w:widowControl/>
        <w:spacing w:line="560" w:lineRule="exact"/>
        <w:ind w:firstLine="643" w:firstLineChars="200"/>
        <w:textAlignment w:val="baseline"/>
        <w:rPr>
          <w:rStyle w:val="20"/>
          <w:rFonts w:ascii="楷体" w:hAnsi="楷体" w:eastAsia="楷体" w:cs="方正仿宋简体"/>
          <w:b/>
          <w:szCs w:val="32"/>
        </w:rPr>
      </w:pPr>
      <w:r>
        <w:rPr>
          <w:rStyle w:val="20"/>
          <w:rFonts w:hint="eastAsia" w:ascii="楷体" w:hAnsi="楷体" w:eastAsia="楷体" w:cs="方正仿宋简体"/>
          <w:b/>
          <w:szCs w:val="32"/>
        </w:rPr>
        <w:t>（一）针对问题提出改进建议</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olor w:val="auto"/>
          <w:szCs w:val="24"/>
        </w:rPr>
      </w:pPr>
      <w:r>
        <w:rPr>
          <w:rFonts w:hint="eastAsia" w:ascii="仿宋" w:hAnsi="仿宋" w:eastAsia="仿宋"/>
          <w:color w:val="auto"/>
          <w:szCs w:val="24"/>
        </w:rPr>
        <w:t>总体来看，我院研究生培养层次还有待进一步提升、主动服务国家及区域经济社会发展还不够全面、学科与创新团队建设力度还有待加强、国际交流与合作培养尚显薄弱、培养模式还不能完全满足高水平创新能力和实践能力人才培养要求、质量与投入保障和评价机制还有待进一步完善，与学校建设“教学研究型”大学所要求的高水平研究生教育相比，尚存在着一定的差距。</w:t>
      </w:r>
    </w:p>
    <w:p>
      <w:pPr>
        <w:widowControl/>
        <w:spacing w:line="560" w:lineRule="exact"/>
        <w:ind w:firstLine="643" w:firstLineChars="200"/>
        <w:textAlignment w:val="baseline"/>
        <w:rPr>
          <w:rFonts w:ascii="楷体" w:hAnsi="楷体" w:eastAsia="楷体" w:cs="方正仿宋简体"/>
          <w:b/>
          <w:szCs w:val="32"/>
        </w:rPr>
      </w:pPr>
      <w:r>
        <w:rPr>
          <w:rStyle w:val="20"/>
          <w:rFonts w:hint="eastAsia" w:ascii="楷体" w:hAnsi="楷体" w:eastAsia="楷体" w:cs="方正仿宋简体"/>
          <w:b/>
          <w:szCs w:val="32"/>
        </w:rPr>
        <w:t>（二）下一步思路和举措</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olor w:val="auto"/>
          <w:szCs w:val="24"/>
        </w:rPr>
      </w:pPr>
      <w:r>
        <w:rPr>
          <w:rFonts w:hint="eastAsia" w:ascii="仿宋" w:hAnsi="仿宋" w:eastAsia="仿宋"/>
          <w:color w:val="auto"/>
          <w:szCs w:val="24"/>
        </w:rPr>
        <w:t>（1）强化学科点自我评估功能。坚持质量导向，明确学科点建设目标，开展年度发展评价，基于学位授权点建设与发展数据和资料，形成发展变化过程分析评价，注重评价的诊断功能，发挥其在学科与专业学位类别结构调整优化等方面的作用，促进学科点建设目标的实现，提高主动服务区域社会发展需求的能力。</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olor w:val="auto"/>
          <w:szCs w:val="24"/>
        </w:rPr>
      </w:pPr>
      <w:r>
        <w:rPr>
          <w:rFonts w:hint="eastAsia" w:ascii="仿宋" w:hAnsi="仿宋" w:eastAsia="仿宋"/>
          <w:color w:val="auto"/>
          <w:szCs w:val="24"/>
        </w:rPr>
        <w:t>（2）完善科教融合机制。完善我院与中科院各院所、兄弟院校研究生联培细则，包括学生选拔、面试、导师学生互选、开题、答辩等，使学生入校后就确定联培导师及研究课题；健全完善研究生培养与科研任务相结合的培养机制，实行弹性化培养管理；鼓励我院研究生跨学科、跨机构协同培养；支持研究生参加形式多样的高水平学术交流和研究生创新实践大赛。</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olor w:val="auto"/>
          <w:szCs w:val="24"/>
        </w:rPr>
      </w:pPr>
      <w:r>
        <w:rPr>
          <w:rFonts w:hint="eastAsia" w:ascii="仿宋" w:hAnsi="仿宋" w:eastAsia="仿宋"/>
          <w:color w:val="auto"/>
          <w:szCs w:val="24"/>
        </w:rPr>
        <w:t>（3）加强课程教材建设，提升研究生课程教学质量。紧密结合经济社会发展需要，加强对研究生课程建设的长远和系统规划，完善课程设置、教学内容的审批机制，优化课程体系，加强教材建设，创新教学方式，改革考核办法，建立规范的课程准入与退出审查机制，突出创新能力培养，满足个性化发展需求。规范核心课程设置，打造精品示范课程，加大对研究生课程建设、教学改革的常态化投入，完善课程建设成果奖励政策，建设一批优质课程和教学案例库。编写遴选优秀教材，推动优质资源共享。加强教材建设，在研究生教学改革项目中培育建设5门以上校级特色教材，争创省级优秀教材。完善考核评价机制，将课程教材质量作为学科发展水平、教师绩效考核和人才培养质量评价的重要内容。</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olor w:val="auto"/>
          <w:szCs w:val="24"/>
        </w:rPr>
      </w:pPr>
      <w:r>
        <w:rPr>
          <w:rFonts w:hint="eastAsia" w:ascii="仿宋" w:hAnsi="仿宋" w:eastAsia="仿宋"/>
          <w:color w:val="auto"/>
          <w:szCs w:val="24"/>
        </w:rPr>
        <w:t>（4）健全研究生教育内部质量保证体系。完善质量控制和保证制度，抓住课程学习、实习实践、学位论文开题、中期考核、论文评阅和答辩、学位评定等关键环节，落实全过程管理责任，细化强化导师、学位论文答辩委员会和学位评定分委员会权责，杜绝学位“注水”。探索建立学位论文评阅意见公开等制度，合理制定与学位授予相关的科研成果要求，破除“唯论文”倾向。建立研究生教育质量自我评估制度，实施学位授权点年度发展性评价，积极主动参与学科国内评估。</w:t>
      </w:r>
    </w:p>
    <w:sectPr>
      <w:footerReference r:id="rId4"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script"/>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altName w:val="方正舒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textAlignment w:val="baseline"/>
      <w:rPr>
        <w:rStyle w:val="20"/>
        <w:rFonts w:ascii="Times New Roman" w:hAnsi="Times New Roman" w:eastAsia="宋体"/>
        <w:sz w:val="18"/>
        <w:szCs w:val="18"/>
      </w:rPr>
    </w:pPr>
    <w:r>
      <w:rPr>
        <w:rStyle w:val="20"/>
        <w:rFonts w:ascii="Times New Roman" w:hAnsi="Times New Roman" w:eastAsia="宋体"/>
        <w:sz w:val="18"/>
        <w:szCs w:val="18"/>
      </w:rPr>
      <w:pict>
        <v:shape id="文本框 1" o:spid="_x0000_s4097" o:spt="202" type="#_x0000_t202" style="position:absolute;left:0pt;margin-top:0.65pt;height:144pt;width:144pt;mso-position-horizontal:center;mso-position-horizontal-relative:margin;z-index:251659264;mso-width-relative:page;mso-height-relative:page;" filled="f" stroked="f" coordsize="21600,21600" o:gfxdata="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0eqWU1QAAAAYBAAAPAAAAAAAAAAEAIAAAACIAAABkcnMvZG93bnJldi54bWxQSwEC&#10;FAAUAAAACACHTuJAPY5Ihr4BAAB+AwAADgAAAAAAAAABACAAAAAkAQAAZHJzL2Uyb0RvYy54bWxQ&#10;SwUGAAAAAAYABgBZAQAAVAUAAAAA&#10;">
          <v:path/>
          <v:fill on="f" focussize="0,0"/>
          <v:stroke on="f" weight="1.25pt" joinstyle="miter"/>
          <v:imagedata o:title=""/>
          <o:lock v:ext="edit"/>
          <v:textbox inset="0mm,0mm,0mm,0mm">
            <w:txbxContent>
              <w:p>
                <w:pPr>
                  <w:pStyle w:val="7"/>
                  <w:widowControl/>
                  <w:jc w:val="both"/>
                  <w:textAlignment w:val="baseline"/>
                  <w:rPr>
                    <w:rStyle w:val="20"/>
                    <w:rFonts w:ascii="Times New Roman" w:hAnsi="Times New Roman" w:eastAsia="宋体"/>
                    <w:sz w:val="20"/>
                    <w:szCs w:val="18"/>
                  </w:rPr>
                </w:pPr>
              </w:p>
              <w:p>
                <w:pPr>
                  <w:textAlignment w:val="baseline"/>
                  <w:rPr>
                    <w:rStyle w:val="20"/>
                    <w:rFonts w:ascii="Times New Roman" w:hAnsi="Times New Roman" w:eastAsia="宋体"/>
                    <w:sz w:val="21"/>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jc w:val="center"/>
      <w:textAlignment w:val="baseline"/>
      <w:rPr>
        <w:rStyle w:val="20"/>
        <w:rFonts w:eastAsia="宋体" w:cs="Calibri"/>
        <w:sz w:val="28"/>
        <w:szCs w:val="28"/>
      </w:rPr>
    </w:pPr>
    <w:r>
      <w:rPr>
        <w:rStyle w:val="20"/>
        <w:rFonts w:eastAsia="宋体" w:cs="Calibri"/>
        <w:sz w:val="28"/>
        <w:szCs w:val="28"/>
      </w:rPr>
      <w:pict>
        <v:shape id="文本框 15" o:spid="_x0000_s4098"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path/>
          <v:fill on="f" focussize="0,0"/>
          <v:stroke on="f" weight="0.5pt" joinstyle="miter"/>
          <v:imagedata o:title=""/>
          <o:lock v:ext="edit"/>
          <v:textbox inset="0mm,0mm,0mm,0mm" style="mso-fit-shape-to-text:t;">
            <w:txbxContent>
              <w:p>
                <w:pPr>
                  <w:pStyle w:val="7"/>
                  <w:rPr>
                    <w:rFonts w:eastAsia="宋体"/>
                  </w:rPr>
                </w:pPr>
                <w:r>
                  <w:rPr>
                    <w:rFonts w:hint="eastAsia"/>
                  </w:rPr>
                  <w:fldChar w:fldCharType="begin"/>
                </w:r>
                <w:r>
                  <w:rPr>
                    <w:rFonts w:hint="eastAsia"/>
                  </w:rPr>
                  <w:instrText xml:space="preserve"> PAGE  \* MERGEFORMAT </w:instrText>
                </w:r>
                <w:r>
                  <w:rPr>
                    <w:rFonts w:hint="eastAsia"/>
                  </w:rPr>
                  <w:fldChar w:fldCharType="separate"/>
                </w:r>
                <w:r>
                  <w:t>- 11 -</w:t>
                </w:r>
                <w:r>
                  <w:rPr>
                    <w:rFonts w:hint="eastAsia"/>
                  </w:rPr>
                  <w:fldChar w:fldCharType="end"/>
                </w:r>
              </w:p>
            </w:txbxContent>
          </v:textbox>
        </v:shape>
      </w:pict>
    </w:r>
  </w:p>
  <w:p>
    <w:pPr>
      <w:pStyle w:val="7"/>
      <w:widowControl/>
      <w:jc w:val="center"/>
      <w:textAlignment w:val="baseline"/>
      <w:rPr>
        <w:rStyle w:val="20"/>
        <w:rFonts w:ascii="Times New Roman" w:hAnsi="Times New Roman" w:eastAsia="宋体"/>
        <w:sz w:val="28"/>
        <w:szCs w:val="28"/>
      </w:rPr>
    </w:pPr>
    <w:r>
      <w:rPr>
        <w:rStyle w:val="20"/>
        <w:rFonts w:ascii="Times New Roman" w:hAnsi="Times New Roman" w:eastAsia="宋体"/>
        <w:sz w:val="28"/>
        <w:szCs w:val="28"/>
      </w:rPr>
      <w:pict>
        <v:shape id="文本框 44" o:spid="_x0000_s4099" o:spt="202" type="#_x0000_t202"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3u45fSAAAABQEAAA8AAAAAAAAAAQAgAAAAIgAAAGRycy9kb3du&#10;cmV2LnhtbFBLAQIUABQAAAAIAIdO4kAyMoZDzAEAAJgDAAAOAAAAAAAAAAEAIAAAACEBAABkcnMv&#10;ZTJvRG9jLnhtbFBLBQYAAAAABgAGAFkBAABfBQAAAAA=&#10;">
          <v:path/>
          <v:fill on="f" focussize="0,0"/>
          <v:stroke on="f" weight="1.25pt" joinstyle="miter"/>
          <v:imagedata o:title=""/>
          <o:lock v:ext="edit"/>
          <v:textbox inset="0mm,0mm,0mm,0mm">
            <w:txbxContent>
              <w:p>
                <w:pPr>
                  <w:pStyle w:val="7"/>
                  <w:widowControl/>
                  <w:jc w:val="center"/>
                  <w:textAlignment w:val="baseline"/>
                  <w:rPr>
                    <w:rStyle w:val="20"/>
                    <w:rFonts w:ascii="仿宋_GB2312" w:hAnsi="仿宋_GB2312" w:eastAsia="仿宋_GB2312"/>
                    <w:sz w:val="28"/>
                    <w:szCs w:val="28"/>
                  </w:rPr>
                </w:pPr>
              </w:p>
              <w:p>
                <w:pPr>
                  <w:textAlignment w:val="baseline"/>
                  <w:rPr>
                    <w:rStyle w:val="20"/>
                    <w:rFonts w:ascii="Times New Roman" w:hAnsi="Times New Roman" w:eastAsia="宋体"/>
                    <w:sz w:val="21"/>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NotTrackMoves/>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ODcxNmMxMWExMjU1NWM0MmM2YTY4YzhkNmQ4ZDI0MzUifQ=="/>
  </w:docVars>
  <w:rsids>
    <w:rsidRoot w:val="00D94DEB"/>
    <w:rsid w:val="0000504C"/>
    <w:rsid w:val="00011BA4"/>
    <w:rsid w:val="00072396"/>
    <w:rsid w:val="00082791"/>
    <w:rsid w:val="000840DF"/>
    <w:rsid w:val="000C3DC1"/>
    <w:rsid w:val="000E4A5C"/>
    <w:rsid w:val="001114B4"/>
    <w:rsid w:val="001A32F3"/>
    <w:rsid w:val="002822E9"/>
    <w:rsid w:val="002942EB"/>
    <w:rsid w:val="002A2A8F"/>
    <w:rsid w:val="002C54FE"/>
    <w:rsid w:val="00326DE4"/>
    <w:rsid w:val="0039376B"/>
    <w:rsid w:val="00451F04"/>
    <w:rsid w:val="00547110"/>
    <w:rsid w:val="005F4CB5"/>
    <w:rsid w:val="00600B75"/>
    <w:rsid w:val="006746E0"/>
    <w:rsid w:val="006C341C"/>
    <w:rsid w:val="00702CF9"/>
    <w:rsid w:val="007502A5"/>
    <w:rsid w:val="007852C0"/>
    <w:rsid w:val="007855DE"/>
    <w:rsid w:val="007B6D7B"/>
    <w:rsid w:val="00840ECF"/>
    <w:rsid w:val="00877D43"/>
    <w:rsid w:val="008826CD"/>
    <w:rsid w:val="00941676"/>
    <w:rsid w:val="009F360C"/>
    <w:rsid w:val="009F6387"/>
    <w:rsid w:val="00A349CF"/>
    <w:rsid w:val="00A37AA6"/>
    <w:rsid w:val="00A54693"/>
    <w:rsid w:val="00AD73E6"/>
    <w:rsid w:val="00B051C9"/>
    <w:rsid w:val="00B36B95"/>
    <w:rsid w:val="00C443C6"/>
    <w:rsid w:val="00C53669"/>
    <w:rsid w:val="00C60DB6"/>
    <w:rsid w:val="00C95A47"/>
    <w:rsid w:val="00CB4D49"/>
    <w:rsid w:val="00D94DEB"/>
    <w:rsid w:val="00DA77BC"/>
    <w:rsid w:val="00E27839"/>
    <w:rsid w:val="00E371F5"/>
    <w:rsid w:val="00E47C14"/>
    <w:rsid w:val="00E53D40"/>
    <w:rsid w:val="00EC00E9"/>
    <w:rsid w:val="00F07EFF"/>
    <w:rsid w:val="00F82C9F"/>
    <w:rsid w:val="00FE3701"/>
    <w:rsid w:val="00FE5804"/>
    <w:rsid w:val="02225B04"/>
    <w:rsid w:val="05235D34"/>
    <w:rsid w:val="06A20A39"/>
    <w:rsid w:val="06BF1B73"/>
    <w:rsid w:val="07D7113E"/>
    <w:rsid w:val="08D12F00"/>
    <w:rsid w:val="09615163"/>
    <w:rsid w:val="0A3A79E0"/>
    <w:rsid w:val="0B3049D6"/>
    <w:rsid w:val="0B692FE1"/>
    <w:rsid w:val="0C480258"/>
    <w:rsid w:val="0CD00F0A"/>
    <w:rsid w:val="0EBD0E70"/>
    <w:rsid w:val="0F712BB6"/>
    <w:rsid w:val="0F865924"/>
    <w:rsid w:val="102354BF"/>
    <w:rsid w:val="107240FA"/>
    <w:rsid w:val="121A010C"/>
    <w:rsid w:val="131B5CEA"/>
    <w:rsid w:val="16215FB7"/>
    <w:rsid w:val="168A0209"/>
    <w:rsid w:val="16A36DBB"/>
    <w:rsid w:val="16F83C72"/>
    <w:rsid w:val="171645FF"/>
    <w:rsid w:val="17E112AA"/>
    <w:rsid w:val="18A60DE5"/>
    <w:rsid w:val="19EA4D01"/>
    <w:rsid w:val="1A076D30"/>
    <w:rsid w:val="1BA03591"/>
    <w:rsid w:val="1C505AE1"/>
    <w:rsid w:val="1CC25C22"/>
    <w:rsid w:val="1E501745"/>
    <w:rsid w:val="20E325CD"/>
    <w:rsid w:val="23616034"/>
    <w:rsid w:val="2403533D"/>
    <w:rsid w:val="252300EE"/>
    <w:rsid w:val="27A929FE"/>
    <w:rsid w:val="2874680A"/>
    <w:rsid w:val="2A1D0D41"/>
    <w:rsid w:val="2ABA32FD"/>
    <w:rsid w:val="2B110340"/>
    <w:rsid w:val="2BA1664E"/>
    <w:rsid w:val="2C21126A"/>
    <w:rsid w:val="2C752F1C"/>
    <w:rsid w:val="2DD71A1F"/>
    <w:rsid w:val="31E57E30"/>
    <w:rsid w:val="331458FB"/>
    <w:rsid w:val="33182487"/>
    <w:rsid w:val="3381214D"/>
    <w:rsid w:val="33D83D93"/>
    <w:rsid w:val="34A1037A"/>
    <w:rsid w:val="34DF325D"/>
    <w:rsid w:val="350E3B42"/>
    <w:rsid w:val="360242BD"/>
    <w:rsid w:val="36DF36BB"/>
    <w:rsid w:val="38147E3B"/>
    <w:rsid w:val="38481310"/>
    <w:rsid w:val="389D0C80"/>
    <w:rsid w:val="38D97FC3"/>
    <w:rsid w:val="39070FD4"/>
    <w:rsid w:val="3A865F28"/>
    <w:rsid w:val="3ADE556E"/>
    <w:rsid w:val="3B857ED9"/>
    <w:rsid w:val="3B9B0C14"/>
    <w:rsid w:val="3D205241"/>
    <w:rsid w:val="3D9B21BA"/>
    <w:rsid w:val="3E0072AD"/>
    <w:rsid w:val="3E3877DF"/>
    <w:rsid w:val="3E811382"/>
    <w:rsid w:val="3EE83FF7"/>
    <w:rsid w:val="3F40671A"/>
    <w:rsid w:val="3F73635A"/>
    <w:rsid w:val="3FEE08F8"/>
    <w:rsid w:val="41B17D2F"/>
    <w:rsid w:val="41B8730F"/>
    <w:rsid w:val="42236D02"/>
    <w:rsid w:val="43673D14"/>
    <w:rsid w:val="43E04937"/>
    <w:rsid w:val="44173ECB"/>
    <w:rsid w:val="44421984"/>
    <w:rsid w:val="44A44BC4"/>
    <w:rsid w:val="44AD2E0D"/>
    <w:rsid w:val="45156827"/>
    <w:rsid w:val="45DB181E"/>
    <w:rsid w:val="46115240"/>
    <w:rsid w:val="46C035F8"/>
    <w:rsid w:val="47F210A1"/>
    <w:rsid w:val="4A9D3546"/>
    <w:rsid w:val="4B4E4840"/>
    <w:rsid w:val="4D7D7DB9"/>
    <w:rsid w:val="50761B9F"/>
    <w:rsid w:val="51BE544C"/>
    <w:rsid w:val="525F3CE2"/>
    <w:rsid w:val="526E1E56"/>
    <w:rsid w:val="5338480E"/>
    <w:rsid w:val="53857F11"/>
    <w:rsid w:val="54FB77E7"/>
    <w:rsid w:val="55D8633C"/>
    <w:rsid w:val="562166FF"/>
    <w:rsid w:val="56E90240"/>
    <w:rsid w:val="57A23368"/>
    <w:rsid w:val="57ED0FBA"/>
    <w:rsid w:val="57EF7F46"/>
    <w:rsid w:val="58815E06"/>
    <w:rsid w:val="58FF3D64"/>
    <w:rsid w:val="59545718"/>
    <w:rsid w:val="59F842F5"/>
    <w:rsid w:val="5A2570B4"/>
    <w:rsid w:val="5BE24466"/>
    <w:rsid w:val="5C5E02AA"/>
    <w:rsid w:val="5EC47139"/>
    <w:rsid w:val="5F9A5E4E"/>
    <w:rsid w:val="60936B26"/>
    <w:rsid w:val="60F9182E"/>
    <w:rsid w:val="61472A48"/>
    <w:rsid w:val="627E3805"/>
    <w:rsid w:val="634619AE"/>
    <w:rsid w:val="636762BA"/>
    <w:rsid w:val="63AA05D7"/>
    <w:rsid w:val="64746C6E"/>
    <w:rsid w:val="659F2553"/>
    <w:rsid w:val="66EF4E57"/>
    <w:rsid w:val="67303293"/>
    <w:rsid w:val="678C0773"/>
    <w:rsid w:val="67A4342A"/>
    <w:rsid w:val="67B850C4"/>
    <w:rsid w:val="6A215794"/>
    <w:rsid w:val="6AAB5A90"/>
    <w:rsid w:val="6BB107A8"/>
    <w:rsid w:val="6C160F2C"/>
    <w:rsid w:val="6CBE1A1A"/>
    <w:rsid w:val="6D0A3398"/>
    <w:rsid w:val="6D2F6269"/>
    <w:rsid w:val="6D785A21"/>
    <w:rsid w:val="6E995A95"/>
    <w:rsid w:val="6F157D71"/>
    <w:rsid w:val="70390D6C"/>
    <w:rsid w:val="7229607F"/>
    <w:rsid w:val="73B61FEA"/>
    <w:rsid w:val="73D25D6E"/>
    <w:rsid w:val="740B40E6"/>
    <w:rsid w:val="75187F78"/>
    <w:rsid w:val="754E378A"/>
    <w:rsid w:val="75D7090C"/>
    <w:rsid w:val="77185E98"/>
    <w:rsid w:val="77260526"/>
    <w:rsid w:val="77B72634"/>
    <w:rsid w:val="77F40DE4"/>
    <w:rsid w:val="7832203B"/>
    <w:rsid w:val="78DC209A"/>
    <w:rsid w:val="7AF721A5"/>
    <w:rsid w:val="7B516884"/>
    <w:rsid w:val="7B711D02"/>
    <w:rsid w:val="7BBC67DB"/>
    <w:rsid w:val="7C8B0BA1"/>
    <w:rsid w:val="7CE33211"/>
    <w:rsid w:val="7DD37E5E"/>
    <w:rsid w:val="7E637C8C"/>
    <w:rsid w:val="7F891D79"/>
    <w:rsid w:val="7FB31700"/>
    <w:rsid w:val="7FD03A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简体" w:cs="Times New Roman"/>
      <w:kern w:val="2"/>
      <w:sz w:val="32"/>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b/>
      <w:kern w:val="44"/>
      <w:sz w:val="48"/>
      <w:szCs w:val="48"/>
    </w:rPr>
  </w:style>
  <w:style w:type="paragraph" w:styleId="2">
    <w:name w:val="heading 3"/>
    <w:basedOn w:val="1"/>
    <w:next w:val="1"/>
    <w:autoRedefine/>
    <w:qFormat/>
    <w:uiPriority w:val="9"/>
    <w:pPr>
      <w:spacing w:line="600" w:lineRule="exact"/>
      <w:ind w:firstLine="640" w:firstLineChars="200"/>
      <w:outlineLvl w:val="2"/>
    </w:pPr>
    <w:rPr>
      <w:rFonts w:ascii="黑体" w:hAnsi="黑体" w:eastAsia="黑体"/>
      <w:color w:val="000000"/>
      <w:szCs w:val="32"/>
    </w:rPr>
  </w:style>
  <w:style w:type="character" w:default="1" w:styleId="12">
    <w:name w:val="Default Paragraph Font"/>
    <w:autoRedefine/>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autoRedefine/>
    <w:qFormat/>
    <w:uiPriority w:val="0"/>
    <w:rPr>
      <w:sz w:val="20"/>
      <w:szCs w:val="20"/>
    </w:rPr>
  </w:style>
  <w:style w:type="paragraph" w:styleId="5">
    <w:name w:val="Body Text"/>
    <w:basedOn w:val="1"/>
    <w:autoRedefine/>
    <w:qFormat/>
    <w:uiPriority w:val="1"/>
    <w:rPr>
      <w:rFonts w:ascii="楷体" w:hAnsi="楷体" w:eastAsia="楷体" w:cs="楷体"/>
      <w:sz w:val="21"/>
      <w:szCs w:val="21"/>
    </w:rPr>
  </w:style>
  <w:style w:type="paragraph" w:styleId="6">
    <w:name w:val="Balloon Text"/>
    <w:basedOn w:val="1"/>
    <w:link w:val="17"/>
    <w:autoRedefine/>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0"/>
    <w:pPr>
      <w:spacing w:beforeAutospacing="1" w:afterAutospacing="1"/>
      <w:jc w:val="left"/>
    </w:pPr>
    <w:rPr>
      <w:kern w:val="0"/>
      <w:sz w:val="24"/>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autoRedefine/>
    <w:qFormat/>
    <w:uiPriority w:val="0"/>
    <w:rPr>
      <w:b/>
    </w:rPr>
  </w:style>
  <w:style w:type="character" w:styleId="14">
    <w:name w:val="page number"/>
    <w:basedOn w:val="12"/>
    <w:autoRedefine/>
    <w:qFormat/>
    <w:uiPriority w:val="0"/>
  </w:style>
  <w:style w:type="character" w:styleId="15">
    <w:name w:val="FollowedHyperlink"/>
    <w:qFormat/>
    <w:uiPriority w:val="0"/>
    <w:rPr>
      <w:color w:val="800080"/>
      <w:u w:val="none"/>
    </w:rPr>
  </w:style>
  <w:style w:type="character" w:styleId="16">
    <w:name w:val="Hyperlink"/>
    <w:autoRedefine/>
    <w:qFormat/>
    <w:uiPriority w:val="0"/>
    <w:rPr>
      <w:color w:val="0000FF"/>
      <w:u w:val="none"/>
    </w:rPr>
  </w:style>
  <w:style w:type="character" w:customStyle="1" w:styleId="17">
    <w:name w:val="批注框文本 Char"/>
    <w:link w:val="6"/>
    <w:qFormat/>
    <w:uiPriority w:val="0"/>
    <w:rPr>
      <w:rFonts w:ascii="Calibri" w:hAnsi="Calibri" w:eastAsia="方正仿宋简体" w:cs="Times New Roman"/>
      <w:kern w:val="2"/>
      <w:sz w:val="18"/>
      <w:szCs w:val="18"/>
    </w:rPr>
  </w:style>
  <w:style w:type="character" w:customStyle="1" w:styleId="18">
    <w:name w:val="hover21"/>
    <w:qFormat/>
    <w:uiPriority w:val="0"/>
    <w:rPr>
      <w:color w:val="557EE7"/>
    </w:rPr>
  </w:style>
  <w:style w:type="paragraph" w:customStyle="1" w:styleId="19">
    <w:name w:val="彩色列表 - 强调文字颜色 11"/>
    <w:basedOn w:val="1"/>
    <w:autoRedefine/>
    <w:qFormat/>
    <w:uiPriority w:val="0"/>
    <w:pPr>
      <w:ind w:firstLine="420" w:firstLineChars="200"/>
    </w:pPr>
    <w:rPr>
      <w:rFonts w:ascii="Cambria" w:hAnsi="Cambria"/>
      <w:szCs w:val="22"/>
    </w:rPr>
  </w:style>
  <w:style w:type="character" w:customStyle="1" w:styleId="20">
    <w:name w:val="NormalCharacter"/>
    <w:autoRedefine/>
    <w:semiHidden/>
    <w:qFormat/>
    <w:uiPriority w:val="0"/>
    <w:rPr>
      <w:rFonts w:ascii="Calibri" w:hAnsi="Calibri" w:eastAsia="方正仿宋简体" w:cs="Times New Roman"/>
      <w:kern w:val="2"/>
      <w:sz w:val="32"/>
      <w:szCs w:val="24"/>
      <w:lang w:val="en-US" w:eastAsia="zh-CN" w:bidi="ar-SA"/>
    </w:rPr>
  </w:style>
  <w:style w:type="paragraph" w:customStyle="1" w:styleId="21">
    <w:name w:val="Heading3"/>
    <w:basedOn w:val="1"/>
    <w:next w:val="1"/>
    <w:autoRedefine/>
    <w:qFormat/>
    <w:uiPriority w:val="0"/>
    <w:pPr>
      <w:spacing w:line="600" w:lineRule="exact"/>
      <w:ind w:firstLine="640" w:firstLineChars="200"/>
      <w:textAlignment w:val="baseline"/>
    </w:pPr>
    <w:rPr>
      <w:rFonts w:ascii="黑体" w:hAnsi="黑体" w:eastAsia="黑体"/>
      <w:color w:val="000000"/>
      <w:szCs w:val="32"/>
    </w:rPr>
  </w:style>
  <w:style w:type="paragraph" w:styleId="22">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1417</Words>
  <Characters>8079</Characters>
  <Lines>67</Lines>
  <Paragraphs>18</Paragraphs>
  <TotalTime>4</TotalTime>
  <ScaleCrop>false</ScaleCrop>
  <LinksUpToDate>false</LinksUpToDate>
  <CharactersWithSpaces>9478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2021-11-23T08:59:00Z</dcterms:created>
  <dc:creator>XWB</dc:creator>
  <cp:lastModifiedBy>多乐士先生</cp:lastModifiedBy>
  <cp:lastPrinted>2021-11-23T08:25:00Z</cp:lastPrinted>
  <dcterms:modified xsi:type="dcterms:W3CDTF">2024-03-15T07:52:02Z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C7EF5BF074F148B49FDD73AD7B31B0CB</vt:lpwstr>
  </property>
</Properties>
</file>